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27bis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408078</w:t>
      </w:r>
    </w:p>
    <w:p w14:paraId="204D30C9">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Hefei, China,</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October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14</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4234C92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91AACE">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8.1.5</w:t>
      </w:r>
    </w:p>
    <w:p w14:paraId="49C4C677">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37A6180B">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AI/ML model transfer/delivery</w:t>
      </w:r>
    </w:p>
    <w:p w14:paraId="5170EB1D">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NR_AIML_air-Core</w:t>
      </w:r>
    </w:p>
    <w:p w14:paraId="1C200F11">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E38A6E7">
      <w:pPr>
        <w:keepNext/>
        <w:keepLines/>
        <w:widowControl/>
        <w:numPr>
          <w:ilvl w:val="0"/>
          <w:numId w:val="4"/>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2697CDE4">
      <w:pPr>
        <w:keepNext w:val="0"/>
        <w:keepLines w:val="0"/>
        <w:pageBreakBefore w:val="0"/>
        <w:widowControl/>
        <w:kinsoku/>
        <w:wordWrap/>
        <w:overflowPunct/>
        <w:topLinePunct w:val="0"/>
        <w:autoSpaceDE/>
        <w:autoSpaceDN/>
        <w:bidi w:val="0"/>
        <w:adjustRightInd/>
        <w:snapToGrid/>
        <w:spacing w:after="180"/>
        <w:textAlignment w:val="auto"/>
        <w:rPr>
          <w:rFonts w:hint="default" w:ascii="Arial" w:hAnsi="Arial" w:eastAsia="宋体" w:cs="Arial"/>
          <w:kern w:val="0"/>
          <w:sz w:val="18"/>
          <w:szCs w:val="18"/>
          <w:lang w:val="en-US" w:eastAsia="zh-CN"/>
        </w:rPr>
      </w:pPr>
      <w:r>
        <w:rPr>
          <w:rFonts w:hint="eastAsia" w:ascii="Arial" w:hAnsi="Arial" w:cs="Arial"/>
          <w:sz w:val="20"/>
          <w:szCs w:val="21"/>
          <w:lang w:val="en-US" w:eastAsia="zh-CN"/>
        </w:rPr>
        <w:t>During R18 study</w:t>
      </w:r>
      <w:r>
        <w:rPr>
          <w:rFonts w:hint="eastAsia" w:ascii="Arial" w:hAnsi="Arial" w:cs="Arial"/>
          <w:sz w:val="20"/>
          <w:szCs w:val="21"/>
        </w:rPr>
        <w:t>,</w:t>
      </w:r>
      <w:r>
        <w:rPr>
          <w:rFonts w:ascii="Arial" w:hAnsi="Arial" w:cs="Arial"/>
          <w:sz w:val="20"/>
          <w:szCs w:val="21"/>
        </w:rPr>
        <w:t xml:space="preserve"> </w:t>
      </w:r>
      <w:r>
        <w:rPr>
          <w:rFonts w:hint="eastAsia" w:ascii="Arial" w:hAnsi="Arial" w:cs="Arial"/>
          <w:sz w:val="20"/>
          <w:szCs w:val="21"/>
          <w:lang w:val="en-US" w:eastAsia="zh-CN"/>
        </w:rPr>
        <w:t xml:space="preserve">RAN2 discussed the potential solutions for AI/ML model transfer/delivery and captured the analysis of current status, gaps and potential RAN specification impact for each solution in TR 38.843 [1].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14:paraId="50C2F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14:paraId="26CC92FB">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1a: gNB can transfer/deliver AI/ML model(s) to UE via RRC signalling.</w:t>
            </w:r>
          </w:p>
          <w:p w14:paraId="0555DA3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2a: Core Network (except LMF) can transfer/deliver AI/ML model(s) to UE via NAS signalling.</w:t>
            </w:r>
          </w:p>
          <w:p w14:paraId="0018AEBE">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3a: LMF can transfer/deliver AI/ML model(s) to UE via LPP signalling.</w:t>
            </w:r>
          </w:p>
          <w:p w14:paraId="3E63C7F6">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1b: gNB can transfer/deliver AI/ML model(s) to UE via UP data.</w:t>
            </w:r>
          </w:p>
          <w:p w14:paraId="19D815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2b: Core Network (except LMF) can transfer/deliver AI/ML model(s) to UE via User Plane (UP) data.</w:t>
            </w:r>
          </w:p>
          <w:p w14:paraId="077A55DF">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3b: LMF can transfer/deliver AI/ML model(s) to UE via UP data.</w:t>
            </w:r>
          </w:p>
          <w:p w14:paraId="5EDE4D60">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sz w:val="20"/>
                <w:szCs w:val="21"/>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4a: OTT server can transfer/deliver AI/ML model(s) to UE (e.g., transparent to 3GPP).</w:t>
            </w:r>
          </w:p>
          <w:p w14:paraId="5766A39C">
            <w:pPr>
              <w:pStyle w:val="20"/>
              <w:keepNext w:val="0"/>
              <w:keepLines w:val="0"/>
              <w:pageBreakBefore w:val="0"/>
              <w:widowControl w:val="0"/>
              <w:kinsoku/>
              <w:wordWrap/>
              <w:overflowPunct/>
              <w:topLinePunct w:val="0"/>
              <w:autoSpaceDE/>
              <w:autoSpaceDN/>
              <w:bidi w:val="0"/>
              <w:adjustRightInd/>
              <w:snapToGrid/>
              <w:spacing w:after="120"/>
              <w:ind w:left="567" w:hanging="283"/>
              <w:textAlignment w:val="auto"/>
              <w:rPr>
                <w:rFonts w:hint="default" w:ascii="Arial" w:hAnsi="Arial" w:cs="Arial"/>
                <w:lang w:val="en-GB" w:eastAsia="en-GB"/>
              </w:rPr>
            </w:pPr>
            <w:r>
              <w:rPr>
                <w:rFonts w:hint="default" w:ascii="Arial" w:hAnsi="Arial" w:cs="Arial"/>
                <w:sz w:val="20"/>
                <w:szCs w:val="21"/>
              </w:rPr>
              <w:t>-</w:t>
            </w:r>
            <w:r>
              <w:rPr>
                <w:rFonts w:hint="default" w:ascii="Arial" w:hAnsi="Arial" w:cs="Arial"/>
                <w:sz w:val="20"/>
                <w:szCs w:val="21"/>
              </w:rPr>
              <w:tab/>
            </w:r>
            <w:r>
              <w:rPr>
                <w:rFonts w:hint="default" w:ascii="Arial" w:hAnsi="Arial" w:cs="Arial"/>
                <w:sz w:val="20"/>
                <w:szCs w:val="21"/>
              </w:rPr>
              <w:t>Solution 4b: OAM can transfer/deliver AI/ML model(s) to UE.</w:t>
            </w:r>
          </w:p>
        </w:tc>
      </w:tr>
    </w:tbl>
    <w:p w14:paraId="7CA536C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w:t>
      </w:r>
      <w:r>
        <w:rPr>
          <w:rFonts w:ascii="Arial" w:hAnsi="Arial" w:eastAsia="宋体" w:cs="Arial"/>
          <w:kern w:val="0"/>
          <w:sz w:val="20"/>
          <w:szCs w:val="20"/>
          <w:lang w:val="en-GB"/>
        </w:rPr>
        <w:t xml:space="preserve"> </w:t>
      </w:r>
      <w:r>
        <w:rPr>
          <w:rFonts w:ascii="Arial" w:hAnsi="Arial" w:cs="Arial"/>
          <w:sz w:val="20"/>
          <w:szCs w:val="20"/>
        </w:rPr>
        <w:t xml:space="preserve">we </w:t>
      </w:r>
      <w:r>
        <w:rPr>
          <w:rFonts w:hint="eastAsia" w:ascii="Arial" w:hAnsi="Arial" w:cs="Arial"/>
          <w:sz w:val="20"/>
          <w:szCs w:val="20"/>
          <w:lang w:val="en-US" w:eastAsia="zh-CN"/>
        </w:rPr>
        <w:t>will provide further analysis of the solutions o</w:t>
      </w:r>
      <w:r>
        <w:rPr>
          <w:rFonts w:hint="eastAsia" w:ascii="Arial" w:hAnsi="Arial" w:eastAsia="宋体" w:cs="Arial"/>
          <w:kern w:val="0"/>
          <w:sz w:val="20"/>
          <w:szCs w:val="20"/>
        </w:rPr>
        <w:t xml:space="preserve">n </w:t>
      </w:r>
      <w:r>
        <w:rPr>
          <w:rFonts w:hint="eastAsia" w:ascii="Arial" w:hAnsi="Arial" w:eastAsia="宋体" w:cs="Arial"/>
          <w:kern w:val="0"/>
          <w:sz w:val="20"/>
          <w:szCs w:val="20"/>
          <w:lang w:val="en-US" w:eastAsia="zh-CN"/>
        </w:rPr>
        <w:t>AI/ML model transfer/delivery</w:t>
      </w:r>
      <w:r>
        <w:rPr>
          <w:rFonts w:ascii="Arial" w:hAnsi="Arial" w:eastAsia="宋体" w:cs="Arial"/>
          <w:kern w:val="0"/>
          <w:sz w:val="20"/>
          <w:szCs w:val="20"/>
          <w:lang w:val="en-GB"/>
        </w:rPr>
        <w:t>.</w:t>
      </w:r>
    </w:p>
    <w:p w14:paraId="347D042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6225BBF9">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CSI feedback enhancement and beam management use case, CP-based and UP-based solutions between UE and gNB/CN is proposed. However, for CN involved solution (i.e. solution 2a and 2b), we think the motivation is still unclear because the use cases (i.e. CSI feedback and beam management) is purely over air interface which only involves UE and gNB. Thus, it is tricky for CN to collect all necessary data for model training and perform model transfer. In addition, it is also hard for CN to understand the physical parameters and determine which AI/ML model is applicable for the specific use case. On the other hand, solution 2a and 2b need more works in other WGs (e.g. SA2, CT1). </w:t>
      </w:r>
    </w:p>
    <w:p w14:paraId="4620E29C">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14:paraId="437C702B">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Therefore, we propose to not consider CN involved solution (i.e. solution 2a and 2b) for CSI feedback enhancement and beam management in R19.</w:t>
      </w:r>
    </w:p>
    <w:p w14:paraId="32BE0758">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excluded for model transfer/delivery for CSI feedback enhancement and beam management in R19.</w:t>
      </w:r>
    </w:p>
    <w:p w14:paraId="48CD33DA">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general, the UP-based solution can support the large size model transfer/delivery or transfer/delivery multiple models simultaneously, while the CP-based solution is challenged due to the limited signaling size. However, for solution 1b, as many companies commented during study phase, the existing user plane is not applicable since it terminates at UE and UPF. Some companies proposed to introduce a new layer to handle the AI model transfer functionality or a new UP tunnel between gNB and UE, but this will change the basic protocol stack of NR and has significant impacts on overall architecture and specs. Therefore, solution 1b should not be pursued in R19.</w:t>
      </w:r>
    </w:p>
    <w:p w14:paraId="64BC4194">
      <w:pPr>
        <w:widowControl/>
        <w:tabs>
          <w:tab w:val="left" w:pos="1577"/>
        </w:tabs>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Solution 1b should be excluded in R19 since it would change the current RAN architecture.</w:t>
      </w:r>
    </w:p>
    <w:p w14:paraId="4C122E0C">
      <w:pPr>
        <w:pStyle w:val="4"/>
        <w:rPr>
          <w:rFonts w:eastAsiaTheme="minorEastAsia"/>
          <w:sz w:val="20"/>
          <w:szCs w:val="21"/>
          <w:lang w:eastAsia="zh-CN"/>
        </w:rPr>
      </w:pPr>
      <w:r>
        <w:rPr>
          <w:rFonts w:hint="eastAsia" w:eastAsiaTheme="minorEastAsia"/>
          <w:sz w:val="20"/>
          <w:szCs w:val="21"/>
          <w:lang w:eastAsia="zh-CN"/>
        </w:rPr>
        <w:t>Solution 3a/3b can only be used for p</w:t>
      </w:r>
      <w:r>
        <w:rPr>
          <w:rFonts w:eastAsiaTheme="minorEastAsia"/>
          <w:sz w:val="20"/>
          <w:szCs w:val="21"/>
          <w:lang w:eastAsia="zh-CN"/>
        </w:rPr>
        <w:t>ositioning accuracy enhancement</w:t>
      </w:r>
      <w:r>
        <w:rPr>
          <w:rFonts w:hint="eastAsia" w:eastAsiaTheme="minorEastAsia"/>
          <w:sz w:val="20"/>
          <w:szCs w:val="21"/>
          <w:lang w:eastAsia="zh-CN"/>
        </w:rPr>
        <w:t xml:space="preserve"> use case</w:t>
      </w:r>
      <w:r>
        <w:rPr>
          <w:rFonts w:hint="eastAsia"/>
          <w:sz w:val="20"/>
          <w:szCs w:val="21"/>
          <w:lang w:val="en-US" w:eastAsia="zh-CN"/>
        </w:rPr>
        <w:t>.</w:t>
      </w:r>
      <w:r>
        <w:rPr>
          <w:rFonts w:hint="eastAsia" w:eastAsiaTheme="minorEastAsia"/>
          <w:sz w:val="20"/>
          <w:szCs w:val="21"/>
          <w:lang w:eastAsia="zh-CN"/>
        </w:rPr>
        <w:t xml:space="preserve"> </w:t>
      </w:r>
      <w:r>
        <w:rPr>
          <w:rFonts w:hint="eastAsia"/>
          <w:sz w:val="20"/>
          <w:szCs w:val="21"/>
          <w:lang w:val="en-US" w:eastAsia="zh-CN"/>
        </w:rPr>
        <w:t>T</w:t>
      </w:r>
      <w:r>
        <w:rPr>
          <w:rFonts w:hint="eastAsia" w:eastAsiaTheme="minorEastAsia"/>
          <w:sz w:val="20"/>
          <w:szCs w:val="21"/>
          <w:lang w:eastAsia="zh-CN"/>
        </w:rPr>
        <w:t xml:space="preserve">he model can be trained in LMF and </w:t>
      </w:r>
      <w:r>
        <w:rPr>
          <w:rFonts w:eastAsiaTheme="minorEastAsia"/>
          <w:sz w:val="20"/>
          <w:szCs w:val="21"/>
          <w:lang w:eastAsia="zh-CN"/>
        </w:rPr>
        <w:t>transferred</w:t>
      </w:r>
      <w:r>
        <w:rPr>
          <w:rFonts w:hint="eastAsia" w:eastAsiaTheme="minorEastAsia"/>
          <w:sz w:val="20"/>
          <w:szCs w:val="21"/>
          <w:lang w:eastAsia="zh-CN"/>
        </w:rPr>
        <w:t xml:space="preserve"> to the UE directly. But if other solutions</w:t>
      </w:r>
      <w:r>
        <w:rPr>
          <w:rFonts w:hint="eastAsia"/>
          <w:sz w:val="20"/>
          <w:szCs w:val="21"/>
          <w:lang w:val="en-US" w:eastAsia="zh-CN"/>
        </w:rPr>
        <w:t xml:space="preserve"> are used</w:t>
      </w:r>
      <w:r>
        <w:rPr>
          <w:rFonts w:hint="eastAsia" w:eastAsiaTheme="minorEastAsia"/>
          <w:sz w:val="20"/>
          <w:szCs w:val="21"/>
          <w:lang w:eastAsia="zh-CN"/>
        </w:rPr>
        <w:t xml:space="preserve">, additional model </w:t>
      </w:r>
      <w:r>
        <w:rPr>
          <w:rFonts w:hint="eastAsia"/>
          <w:sz w:val="20"/>
          <w:szCs w:val="21"/>
          <w:lang w:val="en-US" w:eastAsia="zh-CN"/>
        </w:rPr>
        <w:t>delivery</w:t>
      </w:r>
      <w:r>
        <w:rPr>
          <w:rFonts w:hint="eastAsia" w:eastAsiaTheme="minorEastAsia"/>
          <w:sz w:val="20"/>
          <w:szCs w:val="21"/>
          <w:lang w:eastAsia="zh-CN"/>
        </w:rPr>
        <w:t xml:space="preserve"> between LMF and gNB (for solution 1a/1b) or between LMF and other CN node (for solution 2a/2b) </w:t>
      </w:r>
      <w:r>
        <w:rPr>
          <w:rFonts w:hint="eastAsia"/>
          <w:sz w:val="20"/>
          <w:szCs w:val="21"/>
          <w:lang w:val="en-US" w:eastAsia="zh-CN"/>
        </w:rPr>
        <w:t>will be</w:t>
      </w:r>
      <w:r>
        <w:rPr>
          <w:rFonts w:hint="eastAsia" w:eastAsiaTheme="minorEastAsia"/>
          <w:sz w:val="20"/>
          <w:szCs w:val="21"/>
          <w:lang w:eastAsia="zh-CN"/>
        </w:rPr>
        <w:t xml:space="preserve"> introduced, if </w:t>
      </w:r>
      <w:r>
        <w:rPr>
          <w:rFonts w:eastAsiaTheme="minorEastAsia"/>
          <w:sz w:val="20"/>
          <w:szCs w:val="21"/>
          <w:lang w:eastAsia="zh-CN"/>
        </w:rPr>
        <w:t>model training</w:t>
      </w:r>
      <w:r>
        <w:rPr>
          <w:rFonts w:hint="eastAsia" w:eastAsiaTheme="minorEastAsia"/>
          <w:sz w:val="20"/>
          <w:szCs w:val="21"/>
          <w:lang w:eastAsia="zh-CN"/>
        </w:rPr>
        <w:t xml:space="preserve"> is performed in LMF.</w:t>
      </w:r>
      <w:r>
        <w:rPr>
          <w:rFonts w:hint="eastAsia"/>
          <w:sz w:val="20"/>
          <w:szCs w:val="20"/>
          <w:lang w:val="en-US" w:eastAsia="zh-CN"/>
        </w:rPr>
        <w:t xml:space="preserve"> </w:t>
      </w:r>
      <w:r>
        <w:rPr>
          <w:rFonts w:hint="eastAsia" w:eastAsia="宋体" w:cs="Arial"/>
          <w:kern w:val="0"/>
          <w:sz w:val="20"/>
          <w:szCs w:val="20"/>
          <w:lang w:val="en-US" w:eastAsia="zh-CN"/>
        </w:rPr>
        <w:t>I</w:t>
      </w:r>
      <w:r>
        <w:rPr>
          <w:rFonts w:hint="eastAsia" w:ascii="Arial" w:hAnsi="Arial" w:eastAsia="宋体" w:cs="Arial"/>
          <w:kern w:val="0"/>
          <w:sz w:val="20"/>
          <w:szCs w:val="20"/>
          <w:lang w:val="en-US" w:eastAsia="zh-CN"/>
        </w:rPr>
        <w:t>n R18</w:t>
      </w:r>
      <w:r>
        <w:rPr>
          <w:rFonts w:hint="eastAsia" w:eastAsia="宋体" w:cs="Arial"/>
          <w:kern w:val="0"/>
          <w:sz w:val="20"/>
          <w:szCs w:val="20"/>
          <w:lang w:val="en-US" w:eastAsia="zh-CN"/>
        </w:rPr>
        <w:t xml:space="preserve">, </w:t>
      </w:r>
      <w:r>
        <w:rPr>
          <w:rFonts w:hint="eastAsia" w:ascii="Arial" w:hAnsi="Arial" w:eastAsia="宋体" w:cs="Arial"/>
          <w:kern w:val="0"/>
          <w:sz w:val="20"/>
          <w:szCs w:val="20"/>
          <w:lang w:val="en-GB"/>
        </w:rPr>
        <w:t>SA2 had introduced UP tunnel-based solution to carry LPP message</w:t>
      </w:r>
      <w:r>
        <w:rPr>
          <w:rFonts w:hint="eastAsia" w:eastAsia="宋体" w:cs="Arial"/>
          <w:kern w:val="0"/>
          <w:sz w:val="20"/>
          <w:szCs w:val="20"/>
          <w:lang w:val="en-US" w:eastAsia="zh-CN"/>
        </w:rPr>
        <w:t>.</w:t>
      </w:r>
      <w:r>
        <w:rPr>
          <w:rFonts w:hint="eastAsia" w:ascii="Arial" w:hAnsi="Arial" w:eastAsia="宋体" w:cs="Arial"/>
          <w:kern w:val="0"/>
          <w:sz w:val="20"/>
          <w:szCs w:val="20"/>
          <w:lang w:val="en-US" w:eastAsia="zh-CN"/>
        </w:rPr>
        <w:t xml:space="preserve"> </w:t>
      </w:r>
      <w:r>
        <w:rPr>
          <w:rFonts w:hint="eastAsia" w:eastAsia="宋体" w:cs="Arial"/>
          <w:kern w:val="0"/>
          <w:sz w:val="20"/>
          <w:szCs w:val="20"/>
          <w:lang w:val="en-US" w:eastAsia="zh-CN"/>
        </w:rPr>
        <w:t>Therefore</w:t>
      </w:r>
      <w:r>
        <w:rPr>
          <w:rFonts w:hint="eastAsia" w:eastAsiaTheme="minorEastAsia"/>
          <w:sz w:val="20"/>
          <w:szCs w:val="20"/>
          <w:lang w:eastAsia="zh-CN"/>
        </w:rPr>
        <w:t xml:space="preserve">, </w:t>
      </w:r>
      <w:r>
        <w:rPr>
          <w:rFonts w:hint="eastAsia"/>
          <w:sz w:val="20"/>
          <w:szCs w:val="21"/>
          <w:lang w:val="en-US" w:eastAsia="zh-CN"/>
        </w:rPr>
        <w:t>it is feasible to use</w:t>
      </w:r>
      <w:r>
        <w:rPr>
          <w:rFonts w:eastAsiaTheme="minorEastAsia"/>
          <w:sz w:val="20"/>
          <w:szCs w:val="21"/>
          <w:lang w:eastAsia="zh-CN"/>
        </w:rPr>
        <w:t xml:space="preserve"> </w:t>
      </w:r>
      <w:r>
        <w:rPr>
          <w:rFonts w:hint="eastAsia"/>
          <w:sz w:val="20"/>
          <w:szCs w:val="21"/>
          <w:lang w:val="en-US" w:eastAsia="zh-CN"/>
        </w:rPr>
        <w:t>s</w:t>
      </w:r>
      <w:r>
        <w:rPr>
          <w:rFonts w:eastAsiaTheme="minorEastAsia"/>
          <w:sz w:val="20"/>
          <w:szCs w:val="21"/>
          <w:lang w:eastAsia="zh-CN"/>
        </w:rPr>
        <w:t>olution 3a/3b for model transfer/delivery</w:t>
      </w:r>
      <w:r>
        <w:rPr>
          <w:rFonts w:hint="eastAsia" w:eastAsiaTheme="minorEastAsia"/>
          <w:sz w:val="20"/>
          <w:szCs w:val="21"/>
          <w:lang w:eastAsia="zh-CN"/>
        </w:rPr>
        <w:t xml:space="preserve"> for </w:t>
      </w:r>
      <w:r>
        <w:rPr>
          <w:rFonts w:eastAsiaTheme="minorEastAsia"/>
          <w:sz w:val="20"/>
          <w:szCs w:val="21"/>
          <w:lang w:eastAsia="zh-CN"/>
        </w:rPr>
        <w:t xml:space="preserve">positioning accuracy enhancement use case, </w:t>
      </w:r>
      <w:r>
        <w:rPr>
          <w:rFonts w:hint="eastAsia"/>
          <w:sz w:val="20"/>
          <w:szCs w:val="21"/>
          <w:lang w:val="en-US" w:eastAsia="zh-CN"/>
        </w:rPr>
        <w:t>and SA2 work may be needed</w:t>
      </w:r>
      <w:r>
        <w:rPr>
          <w:rFonts w:hint="eastAsia" w:eastAsiaTheme="minorEastAsia"/>
          <w:sz w:val="20"/>
          <w:szCs w:val="21"/>
          <w:lang w:eastAsia="zh-CN"/>
        </w:rPr>
        <w:t>.</w:t>
      </w:r>
    </w:p>
    <w:p w14:paraId="7FD81815">
      <w:pPr>
        <w:widowControl/>
        <w:tabs>
          <w:tab w:val="left" w:pos="1577"/>
        </w:tabs>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Solution 3a and 3b can be considered for positioning accuracy enhancement use case, and SA2 may be involved.</w:t>
      </w:r>
    </w:p>
    <w:p w14:paraId="6C2BAE02">
      <w:pPr>
        <w:widowControl/>
        <w:spacing w:before="120" w:beforeLines="50" w:after="180"/>
        <w:rPr>
          <w:rFonts w:hint="eastAsia" w:ascii="Arial" w:hAnsi="Arial" w:eastAsia="宋体" w:cs="Arial"/>
          <w:kern w:val="0"/>
          <w:sz w:val="20"/>
          <w:szCs w:val="20"/>
          <w:lang w:val="en-US" w:eastAsia="zh-CN"/>
        </w:rPr>
      </w:pPr>
      <w:r>
        <w:rPr>
          <w:rFonts w:hint="eastAsia" w:ascii="Arial" w:hAnsi="Arial" w:eastAsia="宋体" w:cs="Arial"/>
          <w:b w:val="0"/>
          <w:bCs w:val="0"/>
          <w:kern w:val="0"/>
          <w:sz w:val="20"/>
          <w:szCs w:val="20"/>
          <w:lang w:val="en-US" w:eastAsia="zh-CN"/>
        </w:rPr>
        <w:t>RAN1 discussed the following cases for model delivery/transfer considering the model format, model storage location and training location.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831"/>
        <w:gridCol w:w="2196"/>
        <w:gridCol w:w="2974"/>
      </w:tblGrid>
      <w:tr w14:paraId="1829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D8D8D8" w:themeFill="background1" w:themeFillShade="D9"/>
          </w:tcPr>
          <w:p w14:paraId="72561C34">
            <w:pPr>
              <w:spacing w:after="0"/>
              <w:rPr>
                <w:rFonts w:ascii="Arial" w:hAnsi="Arial" w:cs="Arial"/>
                <w:b/>
                <w:sz w:val="18"/>
                <w:szCs w:val="18"/>
              </w:rPr>
            </w:pPr>
            <w:r>
              <w:rPr>
                <w:rFonts w:ascii="Arial" w:hAnsi="Arial" w:cs="Arial"/>
                <w:b/>
                <w:sz w:val="18"/>
                <w:szCs w:val="18"/>
              </w:rPr>
              <w:t>Case</w:t>
            </w:r>
          </w:p>
        </w:tc>
        <w:tc>
          <w:tcPr>
            <w:tcW w:w="3831" w:type="dxa"/>
            <w:shd w:val="clear" w:color="auto" w:fill="D8D8D8" w:themeFill="background1" w:themeFillShade="D9"/>
          </w:tcPr>
          <w:p w14:paraId="7BB91A2E">
            <w:pPr>
              <w:spacing w:after="0"/>
              <w:rPr>
                <w:rFonts w:ascii="Arial" w:hAnsi="Arial" w:cs="Arial"/>
                <w:b/>
                <w:sz w:val="18"/>
                <w:szCs w:val="18"/>
              </w:rPr>
            </w:pPr>
            <w:r>
              <w:rPr>
                <w:rFonts w:ascii="Arial" w:hAnsi="Arial" w:cs="Arial"/>
                <w:b/>
                <w:sz w:val="18"/>
                <w:szCs w:val="18"/>
              </w:rPr>
              <w:t>Model delivery/transfer</w:t>
            </w:r>
          </w:p>
        </w:tc>
        <w:tc>
          <w:tcPr>
            <w:tcW w:w="2196" w:type="dxa"/>
            <w:shd w:val="clear" w:color="auto" w:fill="D8D8D8" w:themeFill="background1" w:themeFillShade="D9"/>
          </w:tcPr>
          <w:p w14:paraId="3CD9B0D9">
            <w:pPr>
              <w:spacing w:after="0"/>
              <w:rPr>
                <w:rFonts w:ascii="Arial" w:hAnsi="Arial" w:cs="Arial"/>
                <w:b/>
                <w:sz w:val="18"/>
                <w:szCs w:val="18"/>
              </w:rPr>
            </w:pPr>
            <w:r>
              <w:rPr>
                <w:rFonts w:ascii="Arial" w:hAnsi="Arial" w:cs="Arial"/>
                <w:b/>
                <w:sz w:val="18"/>
                <w:szCs w:val="18"/>
              </w:rPr>
              <w:t>Model storage location</w:t>
            </w:r>
          </w:p>
        </w:tc>
        <w:tc>
          <w:tcPr>
            <w:tcW w:w="2974" w:type="dxa"/>
            <w:shd w:val="clear" w:color="auto" w:fill="D8D8D8" w:themeFill="background1" w:themeFillShade="D9"/>
          </w:tcPr>
          <w:p w14:paraId="3BE9CAAB">
            <w:pPr>
              <w:spacing w:after="0"/>
              <w:rPr>
                <w:rFonts w:ascii="Arial" w:hAnsi="Arial" w:cs="Arial"/>
                <w:b/>
                <w:sz w:val="18"/>
                <w:szCs w:val="18"/>
              </w:rPr>
            </w:pPr>
            <w:r>
              <w:rPr>
                <w:rFonts w:ascii="Arial" w:hAnsi="Arial" w:cs="Arial"/>
                <w:b/>
                <w:sz w:val="18"/>
                <w:szCs w:val="18"/>
              </w:rPr>
              <w:t>Training location</w:t>
            </w:r>
          </w:p>
        </w:tc>
      </w:tr>
      <w:tr w14:paraId="4075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74425AF0">
            <w:pPr>
              <w:spacing w:after="0"/>
              <w:rPr>
                <w:rFonts w:ascii="Arial" w:hAnsi="Arial" w:cs="Arial"/>
                <w:b/>
                <w:sz w:val="18"/>
                <w:szCs w:val="18"/>
              </w:rPr>
            </w:pPr>
            <w:r>
              <w:rPr>
                <w:rFonts w:ascii="Arial" w:hAnsi="Arial" w:cs="Arial"/>
                <w:b/>
                <w:sz w:val="18"/>
                <w:szCs w:val="18"/>
              </w:rPr>
              <w:t>y</w:t>
            </w:r>
          </w:p>
        </w:tc>
        <w:tc>
          <w:tcPr>
            <w:tcW w:w="3831" w:type="dxa"/>
            <w:shd w:val="clear" w:color="auto" w:fill="auto"/>
          </w:tcPr>
          <w:p w14:paraId="7E03101F">
            <w:pPr>
              <w:spacing w:after="0"/>
              <w:rPr>
                <w:rFonts w:ascii="Arial" w:hAnsi="Arial" w:cs="Arial"/>
                <w:sz w:val="18"/>
                <w:szCs w:val="18"/>
              </w:rPr>
            </w:pPr>
            <w:r>
              <w:rPr>
                <w:rFonts w:ascii="Arial" w:hAnsi="Arial" w:cs="Arial"/>
                <w:sz w:val="18"/>
                <w:szCs w:val="18"/>
              </w:rPr>
              <w:t>model delivery (if needed) over-the-top.</w:t>
            </w:r>
          </w:p>
        </w:tc>
        <w:tc>
          <w:tcPr>
            <w:tcW w:w="2196" w:type="dxa"/>
            <w:shd w:val="clear" w:color="auto" w:fill="auto"/>
          </w:tcPr>
          <w:p w14:paraId="4F1922F0">
            <w:pPr>
              <w:spacing w:after="0"/>
              <w:rPr>
                <w:rFonts w:ascii="Arial" w:hAnsi="Arial" w:cs="Arial"/>
                <w:sz w:val="18"/>
                <w:szCs w:val="18"/>
              </w:rPr>
            </w:pPr>
            <w:r>
              <w:rPr>
                <w:rFonts w:ascii="Arial" w:hAnsi="Arial" w:cs="Arial"/>
                <w:sz w:val="18"/>
                <w:szCs w:val="18"/>
              </w:rPr>
              <w:t>Outside 3GPP Network</w:t>
            </w:r>
          </w:p>
        </w:tc>
        <w:tc>
          <w:tcPr>
            <w:tcW w:w="2974" w:type="dxa"/>
            <w:shd w:val="clear" w:color="auto" w:fill="auto"/>
          </w:tcPr>
          <w:p w14:paraId="33E9B2E6">
            <w:pPr>
              <w:spacing w:after="0"/>
              <w:rPr>
                <w:rFonts w:ascii="Arial" w:hAnsi="Arial" w:cs="Arial"/>
                <w:sz w:val="18"/>
                <w:szCs w:val="18"/>
              </w:rPr>
            </w:pPr>
            <w:r>
              <w:rPr>
                <w:rFonts w:ascii="Arial" w:hAnsi="Arial" w:cs="Arial"/>
                <w:sz w:val="18"/>
                <w:szCs w:val="18"/>
              </w:rPr>
              <w:t>UE-side / NW-side / neutral site</w:t>
            </w:r>
          </w:p>
        </w:tc>
      </w:tr>
      <w:tr w14:paraId="4FCA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trPr>
        <w:tc>
          <w:tcPr>
            <w:tcW w:w="683" w:type="dxa"/>
            <w:shd w:val="clear" w:color="auto" w:fill="auto"/>
          </w:tcPr>
          <w:p w14:paraId="523E0A95">
            <w:pPr>
              <w:spacing w:after="0"/>
              <w:rPr>
                <w:rFonts w:ascii="Arial" w:hAnsi="Arial" w:cs="Arial"/>
                <w:b/>
                <w:sz w:val="18"/>
                <w:szCs w:val="18"/>
                <w:highlight w:val="none"/>
              </w:rPr>
            </w:pPr>
            <w:r>
              <w:rPr>
                <w:rFonts w:ascii="Arial" w:hAnsi="Arial" w:cs="Arial"/>
                <w:b/>
                <w:sz w:val="18"/>
                <w:szCs w:val="18"/>
                <w:highlight w:val="none"/>
              </w:rPr>
              <w:t>z1</w:t>
            </w:r>
          </w:p>
        </w:tc>
        <w:tc>
          <w:tcPr>
            <w:tcW w:w="3831" w:type="dxa"/>
            <w:shd w:val="clear" w:color="auto" w:fill="auto"/>
          </w:tcPr>
          <w:p w14:paraId="50D21A44">
            <w:pPr>
              <w:spacing w:after="0"/>
              <w:rPr>
                <w:rFonts w:ascii="Arial" w:hAnsi="Arial" w:cs="Arial"/>
                <w:sz w:val="18"/>
                <w:szCs w:val="18"/>
                <w:highlight w:val="none"/>
              </w:rPr>
            </w:pPr>
            <w:r>
              <w:rPr>
                <w:rFonts w:ascii="Arial" w:hAnsi="Arial" w:cs="Arial"/>
                <w:sz w:val="18"/>
                <w:szCs w:val="18"/>
                <w:highlight w:val="none"/>
              </w:rPr>
              <w:t>model transfer in proprietary format.</w:t>
            </w:r>
          </w:p>
        </w:tc>
        <w:tc>
          <w:tcPr>
            <w:tcW w:w="2196" w:type="dxa"/>
            <w:shd w:val="clear" w:color="auto" w:fill="auto"/>
          </w:tcPr>
          <w:p w14:paraId="1E72BEE9">
            <w:pPr>
              <w:spacing w:after="0"/>
              <w:rPr>
                <w:rFonts w:ascii="Arial" w:hAnsi="Arial" w:cs="Arial"/>
                <w:sz w:val="18"/>
                <w:szCs w:val="18"/>
                <w:highlight w:val="none"/>
              </w:rPr>
            </w:pPr>
            <w:r>
              <w:rPr>
                <w:rFonts w:ascii="Arial" w:hAnsi="Arial" w:cs="Arial"/>
                <w:sz w:val="18"/>
                <w:szCs w:val="18"/>
                <w:highlight w:val="none"/>
              </w:rPr>
              <w:t>3GPP Network</w:t>
            </w:r>
          </w:p>
        </w:tc>
        <w:tc>
          <w:tcPr>
            <w:tcW w:w="2974" w:type="dxa"/>
            <w:shd w:val="clear" w:color="auto" w:fill="auto"/>
          </w:tcPr>
          <w:p w14:paraId="7AABCCC2">
            <w:pPr>
              <w:spacing w:after="0"/>
              <w:rPr>
                <w:rFonts w:ascii="Arial" w:hAnsi="Arial" w:cs="Arial"/>
                <w:sz w:val="18"/>
                <w:szCs w:val="18"/>
                <w:highlight w:val="none"/>
              </w:rPr>
            </w:pPr>
            <w:r>
              <w:rPr>
                <w:rFonts w:ascii="Arial" w:hAnsi="Arial" w:cs="Arial"/>
                <w:sz w:val="18"/>
                <w:szCs w:val="18"/>
                <w:highlight w:val="none"/>
              </w:rPr>
              <w:t>UE-side / neutral site</w:t>
            </w:r>
          </w:p>
        </w:tc>
      </w:tr>
      <w:tr w14:paraId="1401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4EA09FCD">
            <w:pPr>
              <w:spacing w:after="0"/>
              <w:rPr>
                <w:rFonts w:ascii="Arial" w:hAnsi="Arial" w:cs="Arial"/>
                <w:b/>
                <w:sz w:val="18"/>
                <w:szCs w:val="18"/>
              </w:rPr>
            </w:pPr>
            <w:r>
              <w:rPr>
                <w:rFonts w:ascii="Arial" w:hAnsi="Arial" w:cs="Arial"/>
                <w:b/>
                <w:sz w:val="18"/>
                <w:szCs w:val="18"/>
              </w:rPr>
              <w:t>z2</w:t>
            </w:r>
          </w:p>
        </w:tc>
        <w:tc>
          <w:tcPr>
            <w:tcW w:w="3831" w:type="dxa"/>
            <w:shd w:val="clear" w:color="auto" w:fill="auto"/>
          </w:tcPr>
          <w:p w14:paraId="38ED2BA0">
            <w:pPr>
              <w:spacing w:after="0"/>
              <w:rPr>
                <w:rFonts w:ascii="Arial" w:hAnsi="Arial" w:cs="Arial"/>
                <w:sz w:val="18"/>
                <w:szCs w:val="18"/>
              </w:rPr>
            </w:pPr>
            <w:r>
              <w:rPr>
                <w:rFonts w:ascii="Arial" w:hAnsi="Arial" w:cs="Arial"/>
                <w:sz w:val="18"/>
                <w:szCs w:val="18"/>
              </w:rPr>
              <w:t>model transfer in proprietary format.</w:t>
            </w:r>
          </w:p>
        </w:tc>
        <w:tc>
          <w:tcPr>
            <w:tcW w:w="2196" w:type="dxa"/>
            <w:shd w:val="clear" w:color="auto" w:fill="auto"/>
          </w:tcPr>
          <w:p w14:paraId="0BA2691B">
            <w:pPr>
              <w:spacing w:after="0"/>
              <w:rPr>
                <w:rFonts w:ascii="Arial" w:hAnsi="Arial" w:cs="Arial"/>
                <w:sz w:val="18"/>
                <w:szCs w:val="18"/>
              </w:rPr>
            </w:pPr>
            <w:r>
              <w:rPr>
                <w:rFonts w:ascii="Arial" w:hAnsi="Arial" w:cs="Arial"/>
                <w:sz w:val="18"/>
                <w:szCs w:val="18"/>
              </w:rPr>
              <w:t>3GPP Network</w:t>
            </w:r>
          </w:p>
        </w:tc>
        <w:tc>
          <w:tcPr>
            <w:tcW w:w="2974" w:type="dxa"/>
            <w:shd w:val="clear" w:color="auto" w:fill="auto"/>
          </w:tcPr>
          <w:p w14:paraId="4B0C4914">
            <w:pPr>
              <w:spacing w:after="0"/>
              <w:rPr>
                <w:rFonts w:ascii="Arial" w:hAnsi="Arial" w:cs="Arial"/>
                <w:sz w:val="18"/>
                <w:szCs w:val="18"/>
              </w:rPr>
            </w:pPr>
            <w:r>
              <w:rPr>
                <w:rFonts w:ascii="Arial" w:hAnsi="Arial" w:cs="Arial"/>
                <w:sz w:val="18"/>
                <w:szCs w:val="18"/>
              </w:rPr>
              <w:t>NW-side</w:t>
            </w:r>
          </w:p>
        </w:tc>
      </w:tr>
      <w:tr w14:paraId="3BE8F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086433B9">
            <w:pPr>
              <w:spacing w:after="0"/>
              <w:rPr>
                <w:rFonts w:ascii="Arial" w:hAnsi="Arial" w:cs="Arial"/>
                <w:b/>
                <w:sz w:val="18"/>
                <w:szCs w:val="18"/>
              </w:rPr>
            </w:pPr>
            <w:r>
              <w:rPr>
                <w:rFonts w:ascii="Arial" w:hAnsi="Arial" w:cs="Arial"/>
                <w:b/>
                <w:sz w:val="18"/>
                <w:szCs w:val="18"/>
              </w:rPr>
              <w:t>z3</w:t>
            </w:r>
          </w:p>
        </w:tc>
        <w:tc>
          <w:tcPr>
            <w:tcW w:w="3831" w:type="dxa"/>
            <w:shd w:val="clear" w:color="auto" w:fill="auto"/>
          </w:tcPr>
          <w:p w14:paraId="08D1C809">
            <w:pPr>
              <w:spacing w:after="0"/>
              <w:rPr>
                <w:rFonts w:ascii="Arial" w:hAnsi="Arial" w:cs="Arial"/>
                <w:sz w:val="18"/>
                <w:szCs w:val="18"/>
              </w:rPr>
            </w:pPr>
            <w:r>
              <w:rPr>
                <w:rFonts w:ascii="Arial" w:hAnsi="Arial" w:cs="Arial"/>
                <w:sz w:val="18"/>
                <w:szCs w:val="18"/>
              </w:rPr>
              <w:t>model transfer in open format.</w:t>
            </w:r>
          </w:p>
        </w:tc>
        <w:tc>
          <w:tcPr>
            <w:tcW w:w="2196" w:type="dxa"/>
            <w:shd w:val="clear" w:color="auto" w:fill="auto"/>
          </w:tcPr>
          <w:p w14:paraId="149433C3">
            <w:pPr>
              <w:spacing w:after="0"/>
              <w:rPr>
                <w:rFonts w:ascii="Arial" w:hAnsi="Arial" w:cs="Arial"/>
                <w:sz w:val="18"/>
                <w:szCs w:val="18"/>
              </w:rPr>
            </w:pPr>
            <w:r>
              <w:rPr>
                <w:rFonts w:ascii="Arial" w:hAnsi="Arial" w:cs="Arial"/>
                <w:sz w:val="18"/>
                <w:szCs w:val="18"/>
              </w:rPr>
              <w:t>3GPP Network</w:t>
            </w:r>
          </w:p>
        </w:tc>
        <w:tc>
          <w:tcPr>
            <w:tcW w:w="2974" w:type="dxa"/>
            <w:shd w:val="clear" w:color="auto" w:fill="auto"/>
          </w:tcPr>
          <w:p w14:paraId="34A73081">
            <w:pPr>
              <w:spacing w:after="0"/>
              <w:rPr>
                <w:rFonts w:ascii="Arial" w:hAnsi="Arial" w:cs="Arial"/>
                <w:sz w:val="18"/>
                <w:szCs w:val="18"/>
              </w:rPr>
            </w:pPr>
            <w:r>
              <w:rPr>
                <w:rFonts w:ascii="Arial" w:hAnsi="Arial" w:cs="Arial"/>
                <w:sz w:val="18"/>
                <w:szCs w:val="18"/>
              </w:rPr>
              <w:t>UE-side / neutral site</w:t>
            </w:r>
          </w:p>
        </w:tc>
      </w:tr>
      <w:tr w14:paraId="702A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757D219E">
            <w:pPr>
              <w:spacing w:after="0"/>
              <w:rPr>
                <w:rFonts w:ascii="Arial" w:hAnsi="Arial" w:cs="Arial"/>
                <w:b/>
                <w:sz w:val="18"/>
                <w:szCs w:val="18"/>
              </w:rPr>
            </w:pPr>
            <w:r>
              <w:rPr>
                <w:rFonts w:ascii="Arial" w:hAnsi="Arial" w:cs="Arial"/>
                <w:b/>
                <w:sz w:val="18"/>
                <w:szCs w:val="18"/>
              </w:rPr>
              <w:t>z4</w:t>
            </w:r>
          </w:p>
        </w:tc>
        <w:tc>
          <w:tcPr>
            <w:tcW w:w="3831" w:type="dxa"/>
            <w:shd w:val="clear" w:color="auto" w:fill="auto"/>
          </w:tcPr>
          <w:p w14:paraId="3B2367E3">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30352F63">
            <w:pPr>
              <w:spacing w:after="0"/>
              <w:rPr>
                <w:rFonts w:ascii="Arial" w:hAnsi="Arial" w:cs="Arial"/>
                <w:sz w:val="18"/>
                <w:szCs w:val="18"/>
              </w:rPr>
            </w:pPr>
            <w:r>
              <w:rPr>
                <w:rFonts w:ascii="Arial" w:hAnsi="Arial" w:cs="Arial"/>
                <w:sz w:val="18"/>
                <w:szCs w:val="18"/>
              </w:rPr>
              <w:t>3GPP Network</w:t>
            </w:r>
          </w:p>
        </w:tc>
        <w:tc>
          <w:tcPr>
            <w:tcW w:w="2974" w:type="dxa"/>
            <w:shd w:val="clear" w:color="auto" w:fill="auto"/>
          </w:tcPr>
          <w:p w14:paraId="25991CA9">
            <w:pPr>
              <w:spacing w:after="0"/>
              <w:rPr>
                <w:rFonts w:ascii="Arial" w:hAnsi="Arial" w:cs="Arial"/>
                <w:sz w:val="18"/>
                <w:szCs w:val="18"/>
              </w:rPr>
            </w:pPr>
            <w:r>
              <w:rPr>
                <w:rFonts w:ascii="Arial" w:hAnsi="Arial" w:cs="Arial"/>
                <w:sz w:val="18"/>
                <w:szCs w:val="18"/>
              </w:rPr>
              <w:t>NW-side</w:t>
            </w:r>
          </w:p>
        </w:tc>
      </w:tr>
      <w:tr w14:paraId="36634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shd w:val="clear" w:color="auto" w:fill="auto"/>
          </w:tcPr>
          <w:p w14:paraId="6A7FE26B">
            <w:pPr>
              <w:spacing w:after="0"/>
              <w:rPr>
                <w:rFonts w:ascii="Arial" w:hAnsi="Arial" w:cs="Arial"/>
                <w:b/>
                <w:sz w:val="18"/>
                <w:szCs w:val="18"/>
              </w:rPr>
            </w:pPr>
            <w:r>
              <w:rPr>
                <w:rFonts w:ascii="Arial" w:hAnsi="Arial" w:cs="Arial"/>
                <w:b/>
                <w:sz w:val="18"/>
                <w:szCs w:val="18"/>
              </w:rPr>
              <w:t>z5</w:t>
            </w:r>
          </w:p>
        </w:tc>
        <w:tc>
          <w:tcPr>
            <w:tcW w:w="3831" w:type="dxa"/>
            <w:shd w:val="clear" w:color="auto" w:fill="auto"/>
          </w:tcPr>
          <w:p w14:paraId="41960DC1">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2196" w:type="dxa"/>
            <w:shd w:val="clear" w:color="auto" w:fill="auto"/>
          </w:tcPr>
          <w:p w14:paraId="13F19E14">
            <w:pPr>
              <w:spacing w:after="0"/>
              <w:rPr>
                <w:rFonts w:ascii="Arial" w:hAnsi="Arial" w:cs="Arial"/>
                <w:sz w:val="18"/>
                <w:szCs w:val="18"/>
              </w:rPr>
            </w:pPr>
            <w:r>
              <w:rPr>
                <w:rFonts w:ascii="Arial" w:hAnsi="Arial" w:cs="Arial"/>
                <w:sz w:val="18"/>
                <w:szCs w:val="18"/>
              </w:rPr>
              <w:t>3GPP Network</w:t>
            </w:r>
          </w:p>
        </w:tc>
        <w:tc>
          <w:tcPr>
            <w:tcW w:w="2974" w:type="dxa"/>
            <w:shd w:val="clear" w:color="auto" w:fill="auto"/>
          </w:tcPr>
          <w:p w14:paraId="33F6C912">
            <w:pPr>
              <w:spacing w:after="0"/>
              <w:rPr>
                <w:rFonts w:ascii="Arial" w:hAnsi="Arial" w:cs="Arial"/>
                <w:sz w:val="18"/>
                <w:szCs w:val="18"/>
              </w:rPr>
            </w:pPr>
            <w:r>
              <w:rPr>
                <w:rFonts w:ascii="Arial" w:hAnsi="Arial" w:cs="Arial"/>
                <w:sz w:val="18"/>
                <w:szCs w:val="18"/>
              </w:rPr>
              <w:t>NW-side</w:t>
            </w:r>
          </w:p>
        </w:tc>
      </w:tr>
      <w:tr w14:paraId="355C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4" w:type="dxa"/>
            <w:gridSpan w:val="4"/>
            <w:shd w:val="clear" w:color="auto" w:fill="auto"/>
          </w:tcPr>
          <w:p w14:paraId="30A3E700">
            <w:pPr>
              <w:pStyle w:val="28"/>
            </w:pPr>
            <w:r>
              <w:t>Note:</w:t>
            </w:r>
            <w:r>
              <w:tab/>
            </w:r>
            <w:r>
              <w:t>The definition of various Cases is only for the purpose of facilitating discussion and does not imply applicability, feasibility, entity mapping, architecture, signalling nor any prioritization.</w:t>
            </w:r>
          </w:p>
        </w:tc>
      </w:tr>
    </w:tbl>
    <w:p w14:paraId="016C0429">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During R19 discussion, RAN1 agreed to de-prioritize case z2, z3, z5, and discussed the alternatives for case z4, i.e. model transfer in open format of a known model structure at UE. The same step among the alternatives is that NW transfers the parameters to the UE for at least one supported known model structure.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A69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843C650">
            <w:pPr>
              <w:pStyle w:val="19"/>
              <w:spacing w:before="60" w:after="120" w:line="240" w:lineRule="auto"/>
              <w:ind w:left="0" w:leftChars="0" w:firstLine="0" w:firstLineChars="0"/>
              <w:contextualSpacing/>
              <w:jc w:val="both"/>
              <w:rPr>
                <w:rFonts w:hint="default" w:ascii="Times New Roman" w:hAnsi="Times New Roman" w:cs="Times New Roman"/>
                <w:b/>
                <w:sz w:val="20"/>
                <w:szCs w:val="20"/>
                <w:highlight w:val="green"/>
                <w:lang w:eastAsia="en-US"/>
              </w:rPr>
            </w:pPr>
            <w:r>
              <w:rPr>
                <w:rFonts w:hint="default" w:ascii="Times New Roman" w:hAnsi="Times New Roman" w:cs="Times New Roman"/>
                <w:b/>
                <w:sz w:val="20"/>
                <w:szCs w:val="20"/>
                <w:highlight w:val="green"/>
                <w:lang w:val="en-US" w:eastAsia="zh-CN"/>
              </w:rPr>
              <w:t xml:space="preserve">RAN1#117 </w:t>
            </w:r>
            <w:r>
              <w:rPr>
                <w:rFonts w:hint="default" w:ascii="Times New Roman" w:hAnsi="Times New Roman" w:cs="Times New Roman"/>
                <w:b/>
                <w:sz w:val="20"/>
                <w:szCs w:val="20"/>
                <w:highlight w:val="green"/>
                <w:lang w:eastAsia="en-US"/>
              </w:rPr>
              <w:t>Agreement</w:t>
            </w:r>
          </w:p>
          <w:p w14:paraId="531039E8">
            <w:pPr>
              <w:spacing w:line="240" w:lineRule="auto"/>
              <w:rPr>
                <w:rFonts w:hint="default" w:ascii="Times New Roman" w:hAnsi="Times New Roman" w:cs="Times New Roman"/>
                <w:b w:val="0"/>
                <w:bCs/>
                <w:sz w:val="20"/>
                <w:szCs w:val="20"/>
              </w:rPr>
            </w:pPr>
            <w:r>
              <w:rPr>
                <w:rFonts w:hint="default" w:ascii="Times New Roman" w:hAnsi="Times New Roman" w:cs="Times New Roman"/>
                <w:b w:val="0"/>
                <w:bCs/>
                <w:sz w:val="20"/>
                <w:szCs w:val="20"/>
              </w:rPr>
              <w:t>From RAN1 perspective, for model delivery/transfer Case z4, further study the following alternatives (including the necessity</w:t>
            </w:r>
            <w:r>
              <w:rPr>
                <w:rFonts w:hint="default" w:ascii="Times New Roman" w:hAnsi="Times New Roman" w:eastAsia="等线" w:cs="Times New Roman"/>
                <w:b w:val="0"/>
                <w:bCs/>
                <w:sz w:val="20"/>
                <w:szCs w:val="20"/>
                <w:lang w:eastAsia="zh-CN"/>
              </w:rPr>
              <w:t>/feasibility</w:t>
            </w:r>
            <w:r>
              <w:rPr>
                <w:rFonts w:hint="default" w:ascii="Times New Roman" w:hAnsi="Times New Roman" w:cs="Times New Roman"/>
                <w:b w:val="0"/>
                <w:bCs/>
                <w:sz w:val="20"/>
                <w:szCs w:val="20"/>
              </w:rPr>
              <w:t>/benefits):</w:t>
            </w:r>
          </w:p>
          <w:p w14:paraId="415B1B29">
            <w:pPr>
              <w:pStyle w:val="19"/>
              <w:numPr>
                <w:ilvl w:val="0"/>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Alt. A</w:t>
            </w:r>
          </w:p>
          <w:p w14:paraId="3349665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sz w:val="20"/>
                <w:szCs w:val="20"/>
                <w:highlight w:val="none"/>
              </w:rPr>
              <w:t xml:space="preserve">Step A-1: UE </w:t>
            </w:r>
            <w:r>
              <w:rPr>
                <w:rFonts w:hint="default" w:ascii="Times New Roman" w:hAnsi="Times New Roman" w:eastAsia="等线" w:cs="Times New Roman"/>
                <w:b w:val="0"/>
                <w:bCs/>
                <w:sz w:val="20"/>
                <w:szCs w:val="20"/>
                <w:highlight w:val="none"/>
                <w:lang w:eastAsia="zh-CN"/>
              </w:rPr>
              <w:t xml:space="preserve">reports </w:t>
            </w:r>
            <w:r>
              <w:rPr>
                <w:rFonts w:hint="default" w:ascii="Times New Roman" w:hAnsi="Times New Roman" w:cs="Times New Roman"/>
                <w:b w:val="0"/>
                <w:bCs/>
                <w:sz w:val="20"/>
                <w:szCs w:val="20"/>
                <w:highlight w:val="none"/>
              </w:rPr>
              <w:t>th</w:t>
            </w:r>
            <w:r>
              <w:rPr>
                <w:rFonts w:hint="default" w:ascii="Times New Roman" w:hAnsi="Times New Roman" w:cs="Times New Roman"/>
                <w:b w:val="0"/>
                <w:bCs/>
                <w:color w:val="auto"/>
                <w:sz w:val="20"/>
                <w:szCs w:val="20"/>
                <w:highlight w:val="none"/>
              </w:rPr>
              <w:t xml:space="preserve">e supported known model structure(s) </w:t>
            </w:r>
            <w:r>
              <w:rPr>
                <w:rFonts w:hint="default" w:ascii="Times New Roman" w:hAnsi="Times New Roman" w:eastAsia="等线" w:cs="Times New Roman"/>
                <w:b w:val="0"/>
                <w:bCs/>
                <w:color w:val="auto"/>
                <w:sz w:val="20"/>
                <w:szCs w:val="20"/>
                <w:highlight w:val="none"/>
                <w:lang w:eastAsia="zh-CN"/>
              </w:rPr>
              <w:t>to network</w:t>
            </w:r>
          </w:p>
          <w:p w14:paraId="3D293C28">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 xml:space="preserve">Step A-2: </w:t>
            </w:r>
            <w:r>
              <w:rPr>
                <w:rFonts w:hint="default" w:ascii="Times New Roman" w:hAnsi="Times New Roman" w:eastAsia="宋体" w:cs="Times New Roman"/>
                <w:b w:val="0"/>
                <w:bCs/>
                <w:iCs/>
                <w:color w:val="auto"/>
                <w:sz w:val="20"/>
                <w:szCs w:val="20"/>
                <w:highlight w:val="yellow"/>
                <w:lang w:eastAsia="zh-CN"/>
              </w:rPr>
              <w:t xml:space="preserve">NW transfers to UE the parameters for one or more of supported known model structure(s) </w:t>
            </w:r>
            <w:r>
              <w:rPr>
                <w:rFonts w:hint="default" w:ascii="Times New Roman" w:hAnsi="Times New Roman" w:eastAsia="宋体" w:cs="Times New Roman"/>
                <w:b w:val="0"/>
                <w:bCs/>
                <w:iCs/>
                <w:color w:val="auto"/>
                <w:sz w:val="20"/>
                <w:szCs w:val="20"/>
                <w:highlight w:val="none"/>
                <w:lang w:eastAsia="zh-CN"/>
              </w:rPr>
              <w:t>reported in Step A-1</w:t>
            </w:r>
          </w:p>
          <w:p w14:paraId="2EF174A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FFS: whether some additional step(s), and/or whether other information is needed</w:t>
            </w:r>
          </w:p>
          <w:p w14:paraId="292B4A26">
            <w:pPr>
              <w:pStyle w:val="19"/>
              <w:numPr>
                <w:ilvl w:val="0"/>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Alt. B</w:t>
            </w:r>
          </w:p>
          <w:p w14:paraId="6700322F">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B-0: UE reports to NW its support of model transfer/delivery case z4</w:t>
            </w:r>
          </w:p>
          <w:p w14:paraId="7D0370A7">
            <w:pPr>
              <w:pStyle w:val="19"/>
              <w:numPr>
                <w:ilvl w:val="2"/>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Note: Step B-0 may be before or after Step B-1</w:t>
            </w:r>
            <w:r>
              <w:rPr>
                <w:rFonts w:hint="default" w:ascii="Times New Roman" w:hAnsi="Times New Roman" w:eastAsia="等线" w:cs="Times New Roman"/>
                <w:b w:val="0"/>
                <w:bCs/>
                <w:color w:val="auto"/>
                <w:sz w:val="20"/>
                <w:szCs w:val="20"/>
                <w:highlight w:val="none"/>
                <w:lang w:eastAsia="zh-CN"/>
              </w:rPr>
              <w:t>, or not necessary</w:t>
            </w:r>
          </w:p>
          <w:p w14:paraId="42D0C24A">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B-1: NW indicates to UE the candidate known model structure(s)</w:t>
            </w:r>
          </w:p>
          <w:p w14:paraId="7A29A38C">
            <w:pPr>
              <w:pStyle w:val="19"/>
              <w:numPr>
                <w:ilvl w:val="1"/>
                <w:numId w:val="6"/>
              </w:numPr>
              <w:spacing w:before="60" w:after="120" w:line="240" w:lineRule="auto"/>
              <w:ind w:leftChars="0"/>
              <w:contextualSpacing/>
              <w:jc w:val="both"/>
              <w:rPr>
                <w:rFonts w:hint="default" w:ascii="Times New Roman" w:hAnsi="Times New Roman" w:cs="Times New Roman"/>
                <w:b w:val="0"/>
                <w:bCs/>
                <w:color w:val="auto"/>
                <w:sz w:val="20"/>
                <w:szCs w:val="20"/>
                <w:highlight w:val="none"/>
              </w:rPr>
            </w:pPr>
            <w:r>
              <w:rPr>
                <w:rFonts w:hint="default" w:ascii="Times New Roman" w:hAnsi="Times New Roman" w:cs="Times New Roman"/>
                <w:b w:val="0"/>
                <w:bCs/>
                <w:color w:val="auto"/>
                <w:sz w:val="20"/>
                <w:szCs w:val="20"/>
                <w:highlight w:val="none"/>
              </w:rPr>
              <w:t>Step B-2: UE reports to NW which model structure(s) out of the candidate known model structure(s) indicated in Step B-1 is supported</w:t>
            </w:r>
          </w:p>
          <w:p w14:paraId="27BF4F2B">
            <w:pPr>
              <w:pStyle w:val="19"/>
              <w:numPr>
                <w:ilvl w:val="1"/>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Step B-3: </w:t>
            </w:r>
            <w:r>
              <w:rPr>
                <w:rFonts w:hint="default" w:ascii="Times New Roman" w:hAnsi="Times New Roman" w:eastAsia="宋体" w:cs="Times New Roman"/>
                <w:b w:val="0"/>
                <w:bCs/>
                <w:iCs/>
                <w:sz w:val="20"/>
                <w:szCs w:val="20"/>
                <w:highlight w:val="yellow"/>
                <w:lang w:eastAsia="zh-CN"/>
              </w:rPr>
              <w:t xml:space="preserve">NW transfers to UE the parameters for one or more of supported </w:t>
            </w:r>
            <w:r>
              <w:rPr>
                <w:rFonts w:hint="default" w:ascii="Times New Roman" w:hAnsi="Times New Roman" w:cs="Times New Roman"/>
                <w:b w:val="0"/>
                <w:bCs/>
                <w:sz w:val="20"/>
                <w:szCs w:val="20"/>
                <w:highlight w:val="yellow"/>
              </w:rPr>
              <w:t xml:space="preserve">known model structure(s) </w:t>
            </w:r>
            <w:r>
              <w:rPr>
                <w:rFonts w:hint="default" w:ascii="Times New Roman" w:hAnsi="Times New Roman" w:eastAsia="宋体" w:cs="Times New Roman"/>
                <w:b w:val="0"/>
                <w:bCs/>
                <w:iCs/>
                <w:sz w:val="20"/>
                <w:szCs w:val="20"/>
                <w:lang w:eastAsia="zh-CN"/>
              </w:rPr>
              <w:t>reported in Step B-2</w:t>
            </w:r>
          </w:p>
          <w:p w14:paraId="2E4E64D1">
            <w:pPr>
              <w:pStyle w:val="19"/>
              <w:numPr>
                <w:ilvl w:val="1"/>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FFS: whether some additional step(s), and/or whether other information is needed </w:t>
            </w:r>
          </w:p>
          <w:p w14:paraId="3202323E">
            <w:pPr>
              <w:pStyle w:val="19"/>
              <w:numPr>
                <w:ilvl w:val="0"/>
                <w:numId w:val="6"/>
              </w:numPr>
              <w:spacing w:before="60" w:after="120" w:line="240" w:lineRule="auto"/>
              <w:ind w:leftChars="0"/>
              <w:contextualSpacing/>
              <w:jc w:val="both"/>
              <w:rPr>
                <w:rFonts w:hint="default" w:ascii="Times New Roman" w:hAnsi="Times New Roman" w:cs="Times New Roman"/>
                <w:b w:val="0"/>
                <w:bCs/>
                <w:sz w:val="20"/>
                <w:szCs w:val="20"/>
              </w:rPr>
            </w:pPr>
            <w:r>
              <w:rPr>
                <w:rFonts w:hint="default" w:ascii="Times New Roman" w:hAnsi="Times New Roman" w:cs="Times New Roman"/>
                <w:b w:val="0"/>
                <w:bCs/>
                <w:sz w:val="20"/>
                <w:szCs w:val="20"/>
              </w:rPr>
              <w:t>Note: Other alternative(s) is not precluded</w:t>
            </w:r>
          </w:p>
          <w:p w14:paraId="609B51D7">
            <w:pPr>
              <w:pStyle w:val="19"/>
              <w:numPr>
                <w:ilvl w:val="0"/>
                <w:numId w:val="6"/>
              </w:numPr>
              <w:spacing w:before="60" w:after="120" w:line="240" w:lineRule="auto"/>
              <w:ind w:leftChars="0"/>
              <w:contextualSpacing/>
              <w:jc w:val="both"/>
              <w:rPr>
                <w:rFonts w:hint="default" w:ascii="Arial" w:hAnsi="Arial" w:eastAsia="宋体" w:cs="Arial"/>
                <w:kern w:val="0"/>
                <w:sz w:val="20"/>
                <w:szCs w:val="20"/>
                <w:vertAlign w:val="baseline"/>
                <w:lang w:val="en-US" w:eastAsia="zh-CN"/>
              </w:rPr>
            </w:pPr>
            <w:r>
              <w:rPr>
                <w:rFonts w:hint="default" w:ascii="Times New Roman" w:hAnsi="Times New Roman" w:cs="Times New Roman"/>
                <w:b w:val="0"/>
                <w:bCs/>
                <w:sz w:val="20"/>
                <w:szCs w:val="20"/>
              </w:rPr>
              <w:t>Note: Other method(s) of parameter exchange from NW to UE side is a separate discussion.</w:t>
            </w:r>
          </w:p>
        </w:tc>
      </w:tr>
    </w:tbl>
    <w:p w14:paraId="18E63031">
      <w:pPr>
        <w:widowControl/>
        <w:spacing w:before="120" w:beforeLines="50" w:after="180"/>
        <w:jc w:val="both"/>
        <w:rPr>
          <w:rFonts w:hint="eastAsia"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Observation 2: RAN1 studied that NW transfers the parameters to the UE for the supported known model structure.</w:t>
      </w:r>
    </w:p>
    <w:p w14:paraId="60E10264">
      <w:pPr>
        <w:widowControl/>
        <w:spacing w:before="120" w:beforeLines="50" w:after="180"/>
        <w:jc w:val="both"/>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According to the simulation evaluation in RAN1, the number of parameters for the CSI generation part of two-sided model can be 0.1M~5.2M, the number of parameters of UE-sided model for beam management Case 1 can be 0.014M~2.88M. Assuming the size of a parameter is 32bit, the minimum size of parameters for CSI generation part is 0.1M*32bit=400kBytes, and minimum size of parameters for BM-Case1 is 0.014M*32bit=56kBytes. From the perspective of AI/ML complexity, RAN1 also observed that the actual model complexity may differ from the model complexity in the evaluation with respect to platform-dependent optimization on model implementations. That is, the actual model may be smaller than the model used in evaluation.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072EE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50552462">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ascii="Arial" w:hAnsi="Arial" w:eastAsia="等线" w:cs="Arial"/>
                <w:sz w:val="20"/>
                <w:szCs w:val="21"/>
                <w:lang w:val="en-US" w:eastAsia="zh-CN"/>
              </w:rPr>
            </w:pPr>
            <w:r>
              <w:rPr>
                <w:rFonts w:hint="default" w:ascii="Arial" w:hAnsi="Arial" w:eastAsia="等线" w:cs="Arial"/>
                <w:sz w:val="20"/>
                <w:szCs w:val="21"/>
                <w:lang w:val="en-US" w:eastAsia="zh-CN"/>
              </w:rPr>
              <w:t>RAN1#118</w:t>
            </w:r>
          </w:p>
          <w:p w14:paraId="2B991F7B">
            <w:pPr>
              <w:keepNext w:val="0"/>
              <w:keepLines w:val="0"/>
              <w:pageBreakBefore w:val="0"/>
              <w:widowControl w:val="0"/>
              <w:kinsoku/>
              <w:wordWrap/>
              <w:overflowPunct/>
              <w:topLinePunct w:val="0"/>
              <w:autoSpaceDE/>
              <w:autoSpaceDN/>
              <w:bidi w:val="0"/>
              <w:adjustRightInd/>
              <w:snapToGrid/>
              <w:spacing w:after="120" w:line="240" w:lineRule="auto"/>
              <w:textAlignment w:val="auto"/>
              <w:rPr>
                <w:rFonts w:hint="default" w:ascii="Arial" w:hAnsi="Arial" w:eastAsia="等线" w:cs="Arial"/>
                <w:sz w:val="20"/>
                <w:szCs w:val="21"/>
                <w:lang w:eastAsia="zh-CN"/>
              </w:rPr>
            </w:pPr>
            <w:r>
              <w:rPr>
                <w:rFonts w:hint="default" w:ascii="Arial" w:hAnsi="Arial" w:eastAsia="等线" w:cs="Arial"/>
                <w:sz w:val="20"/>
                <w:szCs w:val="21"/>
                <w:lang w:eastAsia="zh-CN"/>
              </w:rPr>
              <w:t>Observation</w:t>
            </w:r>
          </w:p>
          <w:p w14:paraId="50384CE0">
            <w:pPr>
              <w:pStyle w:val="19"/>
              <w:keepNext w:val="0"/>
              <w:keepLines w:val="0"/>
              <w:pageBreakBefore w:val="0"/>
              <w:widowControl w:val="0"/>
              <w:numPr>
                <w:ilvl w:val="0"/>
                <w:numId w:val="7"/>
              </w:numPr>
              <w:suppressAutoHyphens/>
              <w:kinsoku/>
              <w:wordWrap/>
              <w:overflowPunct/>
              <w:topLinePunct w:val="0"/>
              <w:autoSpaceDE/>
              <w:autoSpaceDN/>
              <w:bidi w:val="0"/>
              <w:adjustRightInd/>
              <w:snapToGrid/>
              <w:spacing w:after="120" w:line="240" w:lineRule="auto"/>
              <w:ind w:leftChars="0"/>
              <w:contextualSpacing/>
              <w:jc w:val="both"/>
              <w:textAlignment w:val="auto"/>
              <w:rPr>
                <w:rFonts w:hint="eastAsia" w:ascii="Arial" w:hAnsi="Arial" w:eastAsia="宋体" w:cs="Arial"/>
                <w:kern w:val="0"/>
                <w:sz w:val="20"/>
                <w:szCs w:val="20"/>
                <w:vertAlign w:val="baseline"/>
                <w:lang w:val="en-US" w:eastAsia="zh-CN"/>
              </w:rPr>
            </w:pPr>
            <w:r>
              <w:rPr>
                <w:rFonts w:hint="default" w:ascii="Arial" w:hAnsi="Arial" w:cs="Arial"/>
                <w:sz w:val="20"/>
                <w:szCs w:val="21"/>
                <w:lang w:eastAsia="zh-CN"/>
              </w:rPr>
              <w:t xml:space="preserve">From a perspective of AI/ML complexity, 19 sources adopt the model subject to the computational complexity in units of FLOPs from 0.05M to 3000M. </w:t>
            </w:r>
            <w:r>
              <w:rPr>
                <w:rFonts w:hint="default" w:ascii="Arial" w:hAnsi="Arial" w:cs="Arial"/>
                <w:sz w:val="20"/>
                <w:szCs w:val="21"/>
                <w:highlight w:val="none"/>
                <w:lang w:eastAsia="zh-CN"/>
              </w:rPr>
              <w:t xml:space="preserve">The actual model complexity may differ from the model complexity in the evaluation with respect to platform-dependent optimization on model implementations. </w:t>
            </w:r>
          </w:p>
        </w:tc>
      </w:tr>
    </w:tbl>
    <w:p w14:paraId="738AB055">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3: RAN1 observed that the size of actual model can be smaller than the model used in evaluation with respect to platform-dependent optimization on model implementations.</w:t>
      </w:r>
    </w:p>
    <w:p w14:paraId="11B1F73A">
      <w:pPr>
        <w:widowControl/>
        <w:spacing w:before="120" w:beforeLines="50" w:after="180"/>
        <w:jc w:val="both"/>
        <w:rPr>
          <w:rFonts w:hint="default" w:ascii="Arial" w:hAnsi="Arial" w:eastAsia="宋体" w:cs="Arial"/>
          <w:kern w:val="0"/>
          <w:sz w:val="20"/>
          <w:szCs w:val="20"/>
          <w:lang w:val="en-US" w:eastAsia="zh-CN"/>
        </w:rPr>
      </w:pPr>
      <w:r>
        <w:drawing>
          <wp:inline distT="0" distB="0" distL="114300" distR="114300">
            <wp:extent cx="6108065" cy="1877060"/>
            <wp:effectExtent l="0" t="0" r="6985" b="889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stretch>
                      <a:fillRect/>
                    </a:stretch>
                  </pic:blipFill>
                  <pic:spPr>
                    <a:xfrm>
                      <a:off x="0" y="0"/>
                      <a:ext cx="6108065" cy="1877060"/>
                    </a:xfrm>
                    <a:prstGeom prst="rect">
                      <a:avLst/>
                    </a:prstGeom>
                    <a:noFill/>
                    <a:ln>
                      <a:noFill/>
                    </a:ln>
                  </pic:spPr>
                </pic:pic>
              </a:graphicData>
            </a:graphic>
          </wp:inline>
        </w:drawing>
      </w:r>
    </w:p>
    <w:p w14:paraId="41F58896">
      <w:pPr>
        <w:widowControl/>
        <w:spacing w:before="120" w:beforeLines="50" w:after="180"/>
        <w:jc w:val="center"/>
        <w:rPr>
          <w:rFonts w:hint="eastAsia" w:ascii="Arial" w:hAnsi="Arial" w:cs="Arial"/>
          <w:sz w:val="20"/>
          <w:szCs w:val="21"/>
          <w:lang w:val="en-US" w:eastAsia="zh-CN"/>
        </w:rPr>
      </w:pPr>
      <w:r>
        <w:rPr>
          <w:rFonts w:hint="eastAsia" w:ascii="Arial" w:hAnsi="Arial" w:cs="Arial"/>
          <w:sz w:val="20"/>
          <w:szCs w:val="21"/>
          <w:lang w:val="en-US" w:eastAsia="zh-CN"/>
        </w:rPr>
        <w:t>Figure 1. Part of evaluation results for CSI compression [2]</w:t>
      </w:r>
    </w:p>
    <w:p w14:paraId="2CCAF080">
      <w:pPr>
        <w:widowControl/>
        <w:spacing w:before="120" w:beforeLines="50" w:after="180"/>
        <w:jc w:val="center"/>
      </w:pPr>
      <w:r>
        <w:drawing>
          <wp:inline distT="0" distB="0" distL="114300" distR="114300">
            <wp:extent cx="6118225" cy="4154805"/>
            <wp:effectExtent l="0" t="0" r="635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118225" cy="4154805"/>
                    </a:xfrm>
                    <a:prstGeom prst="rect">
                      <a:avLst/>
                    </a:prstGeom>
                    <a:noFill/>
                    <a:ln>
                      <a:noFill/>
                    </a:ln>
                  </pic:spPr>
                </pic:pic>
              </a:graphicData>
            </a:graphic>
          </wp:inline>
        </w:drawing>
      </w:r>
    </w:p>
    <w:p w14:paraId="165C895A">
      <w:pPr>
        <w:widowControl/>
        <w:spacing w:before="120" w:beforeLines="50" w:after="180"/>
        <w:jc w:val="center"/>
        <w:rPr>
          <w:rFonts w:hint="eastAsia" w:ascii="Arial" w:hAnsi="Arial" w:cs="Arial"/>
          <w:sz w:val="20"/>
          <w:szCs w:val="21"/>
          <w:lang w:val="en-US" w:eastAsia="zh-CN"/>
        </w:rPr>
      </w:pPr>
      <w:r>
        <w:rPr>
          <w:rFonts w:hint="eastAsia" w:ascii="Arial" w:hAnsi="Arial" w:cs="Arial"/>
          <w:sz w:val="20"/>
          <w:szCs w:val="21"/>
          <w:lang w:val="en-US" w:eastAsia="zh-CN"/>
        </w:rPr>
        <w:t>Figure 2. Part of evaluation results for BM-Case1 [2]</w:t>
      </w:r>
    </w:p>
    <w:p w14:paraId="1A42DE59">
      <w:pPr>
        <w:widowControl/>
        <w:spacing w:before="120" w:beforeLines="50" w:after="180"/>
        <w:jc w:val="both"/>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legacy RRC procedure, the maximum size of DL RRC signaling is 45kB (5 segments). based on the above analysis, the size of model parameters for CSI compression and beam management is larger than the maximum size of DL RRC signaling. The straightforward way is to extend the maximum of RRC segmentation, but the exact number of RRC segmentation needs to be further discussed and may depends on RAN1</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input on the size of model</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s parameters.</w:t>
      </w:r>
    </w:p>
    <w:p w14:paraId="46AA6739">
      <w:pPr>
        <w:widowControl/>
        <w:spacing w:before="120" w:beforeLines="50"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On the other side, we understand that </w:t>
      </w:r>
      <w:r>
        <w:rPr>
          <w:rFonts w:hint="eastAsia" w:ascii="Arial" w:hAnsi="Arial" w:eastAsia="宋体" w:cs="Arial"/>
          <w:b w:val="0"/>
          <w:bCs w:val="0"/>
          <w:kern w:val="0"/>
          <w:sz w:val="20"/>
          <w:szCs w:val="20"/>
          <w:lang w:val="en-US" w:eastAsia="zh-CN"/>
        </w:rPr>
        <w:t>the pros of delta signaling for solution 1a is beneficial for model delivery/transfer Case z4 to reduce the signaling overhead, since an exact model structure has been previously identified between NW and UE, and delta parameters can be configured to the UE which will reduce the size of model parameters for transmission</w:t>
      </w:r>
      <w:r>
        <w:rPr>
          <w:rFonts w:hint="eastAsia" w:ascii="Arial" w:hAnsi="Arial" w:eastAsia="宋体" w:cs="Arial"/>
          <w:kern w:val="0"/>
          <w:sz w:val="20"/>
          <w:szCs w:val="20"/>
          <w:lang w:val="en-US" w:eastAsia="zh-CN"/>
        </w:rPr>
        <w:t xml:space="preserve">. In addition, the high priority of RRC signaling is beneficial to complete fast model updating. </w:t>
      </w:r>
    </w:p>
    <w:p w14:paraId="2D26F7D7">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4: The pros of delta configuration for solution 1a is beneficial to reduce the size of model parameters for transmission.</w:t>
      </w:r>
    </w:p>
    <w:p w14:paraId="14A33644">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Solution 1a can be used for model transfer of CSI compression and beam management. How to extend the segmentation is FFS.</w:t>
      </w:r>
    </w:p>
    <w:p w14:paraId="2A897458">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For solution 4a (OTT server), it is transparent to 3GPP and can be achieved by implementation. We think that no discussion on solution 4a is expected in RAN2.</w:t>
      </w:r>
    </w:p>
    <w:p w14:paraId="7800494A">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Solution 4a has no 3GPP impacts, and no discussion is expected in RAN2.</w:t>
      </w:r>
    </w:p>
    <w:p w14:paraId="1BEB087B">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During the discussion on CSI compression of two-sided model, the CSI </w:t>
      </w:r>
      <w:r>
        <w:rPr>
          <w:rFonts w:hint="eastAsia" w:ascii="Arial" w:hAnsi="Arial" w:eastAsia="宋体" w:cs="Arial"/>
          <w:kern w:val="0"/>
          <w:sz w:val="20"/>
          <w:szCs w:val="20"/>
          <w:lang w:val="en-US" w:eastAsia="zh-CN"/>
        </w:rPr>
        <w:t xml:space="preserve">generation part can be trained at gNB and then transferred to the UE. Similarly to AI/ML for RAN, the model training can be located at gNB or OAM. We think the model training of </w:t>
      </w:r>
      <w:r>
        <w:rPr>
          <w:rFonts w:hint="eastAsia" w:ascii="Arial" w:hAnsi="Arial" w:eastAsia="宋体" w:cs="Arial"/>
          <w:b w:val="0"/>
          <w:bCs w:val="0"/>
          <w:kern w:val="0"/>
          <w:sz w:val="20"/>
          <w:szCs w:val="20"/>
          <w:lang w:val="en-US" w:eastAsia="zh-CN"/>
        </w:rPr>
        <w:t xml:space="preserve">the CSI </w:t>
      </w:r>
      <w:r>
        <w:rPr>
          <w:rFonts w:hint="eastAsia" w:ascii="Arial" w:hAnsi="Arial" w:eastAsia="宋体" w:cs="Arial"/>
          <w:kern w:val="0"/>
          <w:sz w:val="20"/>
          <w:szCs w:val="20"/>
          <w:lang w:val="en-US" w:eastAsia="zh-CN"/>
        </w:rPr>
        <w:t xml:space="preserve">generation part can also reside at OAM and then transferred to the UE. </w:t>
      </w:r>
      <w:r>
        <w:rPr>
          <w:rFonts w:hint="eastAsia" w:ascii="Arial" w:hAnsi="Arial" w:eastAsia="宋体" w:cs="Arial"/>
          <w:b w:val="0"/>
          <w:bCs w:val="0"/>
          <w:kern w:val="0"/>
          <w:sz w:val="20"/>
          <w:szCs w:val="20"/>
          <w:lang w:val="en-US" w:eastAsia="zh-CN"/>
        </w:rPr>
        <w:t>Therefore, solution 4b (OAM) is also feasible for model transfer/delivery.</w:t>
      </w:r>
    </w:p>
    <w:p w14:paraId="23559988">
      <w:pPr>
        <w:widowControl/>
        <w:spacing w:before="120" w:beforeLines="50" w:after="180"/>
        <w:ind w:left="0" w:leftChars="0"/>
        <w:jc w:val="both"/>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In R18 study, </w:t>
      </w:r>
      <w:r>
        <w:rPr>
          <w:rFonts w:hint="default" w:ascii="Arial" w:hAnsi="Arial" w:eastAsia="宋体" w:cs="Arial"/>
          <w:b w:val="0"/>
          <w:bCs w:val="0"/>
          <w:kern w:val="0"/>
          <w:sz w:val="20"/>
          <w:szCs w:val="20"/>
          <w:lang w:val="en-US" w:eastAsia="zh-CN"/>
        </w:rPr>
        <w:t>RAN2 discussed the following two solutions but did not analyse their feasibility:</w:t>
      </w:r>
    </w:p>
    <w:p w14:paraId="25CFED74">
      <w:pPr>
        <w:widowControl/>
        <w:spacing w:before="120" w:beforeLines="50" w:after="180"/>
        <w:ind w:left="210" w:leftChars="100"/>
        <w:jc w:val="both"/>
        <w:rPr>
          <w:rFonts w:hint="default" w:ascii="Arial" w:hAnsi="Arial" w:eastAsia="宋体" w:cs="Arial"/>
          <w:b w:val="0"/>
          <w:bCs w:val="0"/>
          <w:kern w:val="0"/>
          <w:sz w:val="20"/>
          <w:szCs w:val="20"/>
          <w:lang w:val="en-US" w:eastAsia="zh-CN"/>
        </w:rPr>
      </w:pPr>
      <w:r>
        <w:rPr>
          <w:rFonts w:hint="default" w:ascii="Arial" w:hAnsi="Arial" w:eastAsia="宋体" w:cs="Arial"/>
          <w:b w:val="0"/>
          <w:bCs w:val="0"/>
          <w:kern w:val="0"/>
          <w:sz w:val="20"/>
          <w:szCs w:val="20"/>
          <w:lang w:val="en-US" w:eastAsia="zh-CN"/>
        </w:rPr>
        <w:t>- OAM can transfer/deliver AI/ML models to UE via OAM→RAN→UE, where Control Plane (CP) signalling is used for RAN→UE.</w:t>
      </w:r>
    </w:p>
    <w:p w14:paraId="38201C25">
      <w:pPr>
        <w:widowControl/>
        <w:spacing w:before="120" w:beforeLines="50" w:after="180"/>
        <w:ind w:left="210" w:leftChars="100"/>
        <w:jc w:val="both"/>
        <w:rPr>
          <w:rFonts w:hint="default" w:ascii="Arial" w:hAnsi="Arial" w:eastAsia="宋体" w:cs="Arial"/>
          <w:b w:val="0"/>
          <w:bCs w:val="0"/>
          <w:kern w:val="0"/>
          <w:sz w:val="20"/>
          <w:szCs w:val="20"/>
          <w:lang w:val="en-US" w:eastAsia="zh-CN"/>
        </w:rPr>
      </w:pPr>
      <w:r>
        <w:rPr>
          <w:rFonts w:hint="default" w:ascii="Arial" w:hAnsi="Arial" w:eastAsia="宋体" w:cs="Arial"/>
          <w:b w:val="0"/>
          <w:bCs w:val="0"/>
          <w:kern w:val="0"/>
          <w:sz w:val="20"/>
          <w:szCs w:val="20"/>
          <w:lang w:val="en-US" w:eastAsia="zh-CN"/>
        </w:rPr>
        <w:t>- OAM can transfer/deliver AI/ML models to UE via OAM→UE, e.g., via IP tunnel.</w:t>
      </w:r>
    </w:p>
    <w:p w14:paraId="412D066E">
      <w:pPr>
        <w:widowControl/>
        <w:spacing w:before="120" w:beforeLines="50" w:after="180"/>
        <w:jc w:val="both"/>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For CP-based option, we understand that the interaction between gNB and UE is the same as solution 1a. For UP-based option, the discussion is out of RAN2 scope. </w:t>
      </w:r>
    </w:p>
    <w:p w14:paraId="2FCA19C5">
      <w:pPr>
        <w:widowControl/>
        <w:spacing w:before="120" w:beforeLines="50" w:after="180"/>
        <w:jc w:val="both"/>
        <w:rPr>
          <w:rFonts w:hint="default"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Based on the above analysis, we prefer to prioritize solution 1a, and the same procedure in solution 1a can be reused for CP-based option of solution 4a if supported.</w:t>
      </w:r>
    </w:p>
    <w:p w14:paraId="292C61DB">
      <w:pPr>
        <w:keepNext w:val="0"/>
        <w:keepLines w:val="0"/>
        <w:pageBreakBefore w:val="0"/>
        <w:widowControl/>
        <w:kinsoku/>
        <w:wordWrap/>
        <w:overflowPunct/>
        <w:topLinePunct w:val="0"/>
        <w:autoSpaceDE/>
        <w:autoSpaceDN/>
        <w:bidi w:val="0"/>
        <w:adjustRightInd/>
        <w:snapToGrid/>
        <w:spacing w:before="0" w:beforeLines="50" w:after="6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Solution 4b is de-pr</w:t>
      </w:r>
      <w:bookmarkStart w:id="0" w:name="_GoBack"/>
      <w:bookmarkEnd w:id="0"/>
      <w:r>
        <w:rPr>
          <w:rFonts w:hint="eastAsia" w:ascii="Arial" w:hAnsi="Arial" w:eastAsia="宋体" w:cs="Arial"/>
          <w:b/>
          <w:bCs/>
          <w:kern w:val="0"/>
          <w:sz w:val="20"/>
          <w:szCs w:val="20"/>
          <w:lang w:val="en-US" w:eastAsia="zh-CN"/>
        </w:rPr>
        <w:t>ioritized for model transfer/delivery in R19 considering the following aspects:</w:t>
      </w:r>
    </w:p>
    <w:p w14:paraId="4CC2B9FB">
      <w:pPr>
        <w:keepNext w:val="0"/>
        <w:keepLines w:val="0"/>
        <w:pageBreakBefore w:val="0"/>
        <w:widowControl/>
        <w:kinsoku/>
        <w:wordWrap/>
        <w:overflowPunct/>
        <w:topLinePunct w:val="0"/>
        <w:autoSpaceDE/>
        <w:autoSpaceDN/>
        <w:bidi w:val="0"/>
        <w:adjustRightInd/>
        <w:snapToGrid/>
        <w:spacing w:before="0" w:beforeLines="50" w:after="60"/>
        <w:ind w:firstLine="420" w:firstLineChars="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 For CP-based option, the procedure between gNB and UE is the same as solution 1a </w:t>
      </w:r>
    </w:p>
    <w:p w14:paraId="33BBE8FE">
      <w:pPr>
        <w:keepNext w:val="0"/>
        <w:keepLines w:val="0"/>
        <w:pageBreakBefore w:val="0"/>
        <w:widowControl/>
        <w:kinsoku/>
        <w:wordWrap/>
        <w:overflowPunct/>
        <w:topLinePunct w:val="0"/>
        <w:autoSpaceDE/>
        <w:autoSpaceDN/>
        <w:bidi w:val="0"/>
        <w:adjustRightInd/>
        <w:snapToGrid/>
        <w:spacing w:before="0" w:beforeLines="50" w:after="60"/>
        <w:ind w:firstLine="420" w:firstLineChars="0"/>
        <w:jc w:val="both"/>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UP-based option, the discussion is out of RAN2 scope</w:t>
      </w:r>
    </w:p>
    <w:p w14:paraId="60EF2170">
      <w:pPr>
        <w:widowControl/>
        <w:spacing w:before="120" w:beforeLines="50" w:after="180"/>
        <w:jc w:val="both"/>
        <w:rPr>
          <w:rFonts w:hint="default" w:ascii="Arial" w:hAnsi="Arial" w:eastAsia="宋体" w:cs="Arial"/>
          <w:b/>
          <w:bCs/>
          <w:kern w:val="0"/>
          <w:sz w:val="20"/>
          <w:szCs w:val="20"/>
          <w:lang w:val="en-US" w:eastAsia="zh-CN"/>
        </w:rPr>
      </w:pPr>
    </w:p>
    <w:p w14:paraId="15364EEB">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2A533F7B">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 xml:space="preserve">Here are the </w:t>
      </w:r>
      <w:r>
        <w:rPr>
          <w:rFonts w:hint="eastAsia" w:ascii="Arial" w:hAnsi="Arial" w:eastAsia="宋体" w:cs="Arial"/>
          <w:kern w:val="0"/>
          <w:sz w:val="21"/>
          <w:szCs w:val="21"/>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AI/ML model transfer/delivery</w:t>
      </w:r>
      <w:r>
        <w:rPr>
          <w:rFonts w:ascii="Arial" w:hAnsi="Arial" w:eastAsia="宋体" w:cs="Arial"/>
          <w:kern w:val="0"/>
          <w:sz w:val="21"/>
          <w:szCs w:val="21"/>
          <w:lang w:val="en-GB" w:eastAsia="en-US"/>
        </w:rPr>
        <w:t>.</w:t>
      </w:r>
    </w:p>
    <w:p w14:paraId="7761BEC3">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1: The motivation for CN to train the AI/ML model is still unclear and it is tricky for CN to collect all necessary data for model training for CSI feedback and beam management use cases.</w:t>
      </w:r>
    </w:p>
    <w:p w14:paraId="46AF886E">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1: Solution 2a and 2b is excluded for model transfer/delivery for CSI feedback enhancement and beam management in R19.</w:t>
      </w:r>
    </w:p>
    <w:p w14:paraId="1E32D23C">
      <w:pPr>
        <w:widowControl/>
        <w:tabs>
          <w:tab w:val="left" w:pos="1577"/>
        </w:tabs>
        <w:spacing w:before="120" w:beforeLines="50"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Solution 1b should be excluded in R19 since it would change the current RAN architecture.</w:t>
      </w:r>
    </w:p>
    <w:p w14:paraId="70CB19FF">
      <w:pPr>
        <w:widowControl/>
        <w:tabs>
          <w:tab w:val="left" w:pos="1577"/>
        </w:tabs>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Solution 3a and 3b can be used for positioning use case.</w:t>
      </w:r>
    </w:p>
    <w:p w14:paraId="25B8564C">
      <w:pPr>
        <w:widowControl/>
        <w:spacing w:before="120" w:beforeLines="50" w:after="180"/>
        <w:jc w:val="both"/>
        <w:rPr>
          <w:rFonts w:hint="default" w:ascii="Arial" w:hAnsi="Arial" w:eastAsia="宋体" w:cs="Arial"/>
          <w:kern w:val="0"/>
          <w:sz w:val="20"/>
          <w:szCs w:val="20"/>
          <w:lang w:val="en-US" w:eastAsia="zh-CN"/>
        </w:rPr>
      </w:pPr>
      <w:r>
        <w:rPr>
          <w:rFonts w:hint="eastAsia" w:ascii="Arial" w:hAnsi="Arial" w:eastAsia="宋体" w:cs="Arial"/>
          <w:b/>
          <w:bCs/>
          <w:kern w:val="0"/>
          <w:sz w:val="20"/>
          <w:szCs w:val="20"/>
          <w:lang w:val="en-US" w:eastAsia="zh-CN"/>
        </w:rPr>
        <w:t>Observation 2: RAN1 studied that NW transfers the parameters to the UE for the supported known model structure.</w:t>
      </w:r>
    </w:p>
    <w:p w14:paraId="76C56872">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3: RAN1 observed that the size of actual model can be smaller than the model used in evaluation with respect to platform-dependent optimization on model implementations.</w:t>
      </w:r>
    </w:p>
    <w:p w14:paraId="377ECDBC">
      <w:pPr>
        <w:widowControl/>
        <w:spacing w:before="120" w:beforeLines="50"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4: The pros of delta configuration for solution 1a is beneficial to reduce the size of model parameters for transmission.</w:t>
      </w:r>
    </w:p>
    <w:p w14:paraId="28915C7A">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Solution 1a can be used for model transfer of CSI compression and beam management. How to extend the segmentation is FFS.</w:t>
      </w:r>
    </w:p>
    <w:p w14:paraId="27D7DCBA">
      <w:pPr>
        <w:widowControl/>
        <w:spacing w:before="120" w:beforeLines="50" w:after="180"/>
        <w:jc w:val="both"/>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Solution 4a has no 3GPP impacts, and no discussion is expected in RAN2.</w:t>
      </w:r>
    </w:p>
    <w:p w14:paraId="53969151">
      <w:pPr>
        <w:keepNext w:val="0"/>
        <w:keepLines w:val="0"/>
        <w:pageBreakBefore w:val="0"/>
        <w:widowControl/>
        <w:kinsoku/>
        <w:wordWrap/>
        <w:overflowPunct/>
        <w:topLinePunct w:val="0"/>
        <w:autoSpaceDE/>
        <w:autoSpaceDN/>
        <w:bidi w:val="0"/>
        <w:adjustRightInd/>
        <w:snapToGrid/>
        <w:spacing w:before="0" w:beforeLines="50" w:after="6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6: Solution 4b is de-prioritized for model transfer/delivery in R19 considering the following aspects:</w:t>
      </w:r>
    </w:p>
    <w:p w14:paraId="5A522565">
      <w:pPr>
        <w:keepNext w:val="0"/>
        <w:keepLines w:val="0"/>
        <w:pageBreakBefore w:val="0"/>
        <w:widowControl/>
        <w:kinsoku/>
        <w:wordWrap/>
        <w:overflowPunct/>
        <w:topLinePunct w:val="0"/>
        <w:autoSpaceDE/>
        <w:autoSpaceDN/>
        <w:bidi w:val="0"/>
        <w:adjustRightInd/>
        <w:snapToGrid/>
        <w:spacing w:before="0" w:beforeLines="50" w:after="60"/>
        <w:ind w:firstLine="420" w:firstLineChars="0"/>
        <w:jc w:val="both"/>
        <w:textAlignment w:val="auto"/>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 For CP-based option, the procedure between gNB and UE is the same as solution 1a </w:t>
      </w:r>
    </w:p>
    <w:p w14:paraId="160905EA">
      <w:pPr>
        <w:keepNext w:val="0"/>
        <w:keepLines w:val="0"/>
        <w:pageBreakBefore w:val="0"/>
        <w:widowControl/>
        <w:kinsoku/>
        <w:wordWrap/>
        <w:overflowPunct/>
        <w:topLinePunct w:val="0"/>
        <w:autoSpaceDE/>
        <w:autoSpaceDN/>
        <w:bidi w:val="0"/>
        <w:adjustRightInd/>
        <w:snapToGrid/>
        <w:spacing w:before="0" w:beforeLines="50" w:after="60"/>
        <w:ind w:firstLine="420" w:firstLineChars="0"/>
        <w:jc w:val="both"/>
        <w:textAlignment w:val="auto"/>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For UP-based option, the discussion is out of RAN2 scope</w:t>
      </w:r>
    </w:p>
    <w:p w14:paraId="1EA14C32">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14:paraId="4CB237F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5CE26E5E">
      <w:pPr>
        <w:widowControl/>
        <w:numPr>
          <w:ilvl w:val="0"/>
          <w:numId w:val="8"/>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TR 38.843 Study on Artificial Intelligence (AI)/Machine Learning (ML) for NR air interface</w:t>
      </w:r>
    </w:p>
    <w:p w14:paraId="016ED997">
      <w:pPr>
        <w:widowControl/>
        <w:numPr>
          <w:ilvl w:val="0"/>
          <w:numId w:val="8"/>
        </w:numPr>
        <w:overflowPunct w:val="0"/>
        <w:autoSpaceDE w:val="0"/>
        <w:autoSpaceDN w:val="0"/>
        <w:adjustRightInd w:val="0"/>
        <w:spacing w:after="180"/>
        <w:jc w:val="left"/>
        <w:textAlignment w:val="baseline"/>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RP-233133 TR 38.843 v2.0.0 Study on Artificial Intelligence (AI)/Machine Learning (ML) for NR air interface, Qualcomm Germany</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A357A9"/>
    <w:multiLevelType w:val="multilevel"/>
    <w:tmpl w:val="06A357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DCAA566"/>
    <w:multiLevelType w:val="singleLevel"/>
    <w:tmpl w:val="2DCAA566"/>
    <w:lvl w:ilvl="0" w:tentative="0">
      <w:start w:val="2"/>
      <w:numFmt w:val="decimal"/>
      <w:lvlText w:val="%1"/>
      <w:lvlJc w:val="left"/>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4">
    <w:nsid w:val="50BED944"/>
    <w:multiLevelType w:val="singleLevel"/>
    <w:tmpl w:val="50BED944"/>
    <w:lvl w:ilvl="0" w:tentative="0">
      <w:start w:val="1"/>
      <w:numFmt w:val="decimal"/>
      <w:lvlText w:val="%1"/>
      <w:lvlJc w:val="left"/>
    </w:lvl>
  </w:abstractNum>
  <w:abstractNum w:abstractNumId="5">
    <w:nsid w:val="6C4432B8"/>
    <w:multiLevelType w:val="multilevel"/>
    <w:tmpl w:val="6C4432B8"/>
    <w:lvl w:ilvl="0" w:tentative="0">
      <w:start w:val="3"/>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2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8D7D2E"/>
    <w:multiLevelType w:val="multilevel"/>
    <w:tmpl w:val="718D7D2E"/>
    <w:lvl w:ilvl="0" w:tentative="0">
      <w:start w:val="1"/>
      <w:numFmt w:val="decimal"/>
      <w:pStyle w:val="27"/>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6"/>
  </w:num>
  <w:num w:numId="3">
    <w:abstractNumId w:val="7"/>
  </w:num>
  <w:num w:numId="4">
    <w:abstractNumId w:val="4"/>
  </w:num>
  <w:num w:numId="5">
    <w:abstractNumId w:val="1"/>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4B10"/>
    <w:rsid w:val="01FE2D6C"/>
    <w:rsid w:val="0218375B"/>
    <w:rsid w:val="027D56B9"/>
    <w:rsid w:val="029439C7"/>
    <w:rsid w:val="02FE3DC3"/>
    <w:rsid w:val="038A1F16"/>
    <w:rsid w:val="04A37BF0"/>
    <w:rsid w:val="04D74A36"/>
    <w:rsid w:val="05CF31FF"/>
    <w:rsid w:val="06EB297F"/>
    <w:rsid w:val="071830B3"/>
    <w:rsid w:val="072E4FA9"/>
    <w:rsid w:val="07372B6B"/>
    <w:rsid w:val="07535363"/>
    <w:rsid w:val="07CA6C58"/>
    <w:rsid w:val="08AE7EDE"/>
    <w:rsid w:val="08C52E36"/>
    <w:rsid w:val="094470AB"/>
    <w:rsid w:val="09891A74"/>
    <w:rsid w:val="09E033A8"/>
    <w:rsid w:val="09F124DC"/>
    <w:rsid w:val="0A1469F1"/>
    <w:rsid w:val="0A173D8A"/>
    <w:rsid w:val="0A974A3E"/>
    <w:rsid w:val="0AB532D6"/>
    <w:rsid w:val="0B125DA8"/>
    <w:rsid w:val="0BD571F9"/>
    <w:rsid w:val="0BED4B6E"/>
    <w:rsid w:val="0C0C1F3B"/>
    <w:rsid w:val="0C7E283C"/>
    <w:rsid w:val="0CC05689"/>
    <w:rsid w:val="0CD5224C"/>
    <w:rsid w:val="0CE47224"/>
    <w:rsid w:val="0CFA7AA0"/>
    <w:rsid w:val="0D4A7F23"/>
    <w:rsid w:val="0D6319EE"/>
    <w:rsid w:val="0D711EBE"/>
    <w:rsid w:val="0D771EA7"/>
    <w:rsid w:val="0DCA1CAE"/>
    <w:rsid w:val="0E2222F6"/>
    <w:rsid w:val="0E226524"/>
    <w:rsid w:val="0E4A09D7"/>
    <w:rsid w:val="0E576A3C"/>
    <w:rsid w:val="0F4A208E"/>
    <w:rsid w:val="0F72666A"/>
    <w:rsid w:val="0F8A7784"/>
    <w:rsid w:val="0FB33C21"/>
    <w:rsid w:val="103C5FC6"/>
    <w:rsid w:val="10510B55"/>
    <w:rsid w:val="110171B2"/>
    <w:rsid w:val="115A05DA"/>
    <w:rsid w:val="11DC20E9"/>
    <w:rsid w:val="123900DB"/>
    <w:rsid w:val="12E6591A"/>
    <w:rsid w:val="13392934"/>
    <w:rsid w:val="13DE24C7"/>
    <w:rsid w:val="14231F17"/>
    <w:rsid w:val="144E5BFE"/>
    <w:rsid w:val="1466786F"/>
    <w:rsid w:val="146D2577"/>
    <w:rsid w:val="14BB5B1A"/>
    <w:rsid w:val="14E836E8"/>
    <w:rsid w:val="15087E6F"/>
    <w:rsid w:val="152B1104"/>
    <w:rsid w:val="159B73D6"/>
    <w:rsid w:val="15BE553B"/>
    <w:rsid w:val="160056CA"/>
    <w:rsid w:val="161147C5"/>
    <w:rsid w:val="16766EE8"/>
    <w:rsid w:val="1698790B"/>
    <w:rsid w:val="16A3322F"/>
    <w:rsid w:val="17045380"/>
    <w:rsid w:val="174C6767"/>
    <w:rsid w:val="17CD5A7B"/>
    <w:rsid w:val="187A66B9"/>
    <w:rsid w:val="190C7A5C"/>
    <w:rsid w:val="198303E3"/>
    <w:rsid w:val="19F3586E"/>
    <w:rsid w:val="1AA4601E"/>
    <w:rsid w:val="1AB85684"/>
    <w:rsid w:val="1AD704B3"/>
    <w:rsid w:val="1B3B4FB0"/>
    <w:rsid w:val="1BB95540"/>
    <w:rsid w:val="1C055EED"/>
    <w:rsid w:val="1C1F5B8F"/>
    <w:rsid w:val="1CB83D19"/>
    <w:rsid w:val="1D2C56A6"/>
    <w:rsid w:val="1D55740C"/>
    <w:rsid w:val="1DDE77F9"/>
    <w:rsid w:val="1DE55E1B"/>
    <w:rsid w:val="1E7804B1"/>
    <w:rsid w:val="1E7B270D"/>
    <w:rsid w:val="1EF17AB3"/>
    <w:rsid w:val="1F13603C"/>
    <w:rsid w:val="203D6B05"/>
    <w:rsid w:val="205E7BE3"/>
    <w:rsid w:val="20733ECA"/>
    <w:rsid w:val="20F63843"/>
    <w:rsid w:val="21380790"/>
    <w:rsid w:val="22B32E1B"/>
    <w:rsid w:val="22BA5BB9"/>
    <w:rsid w:val="22C15D24"/>
    <w:rsid w:val="236906A5"/>
    <w:rsid w:val="23700030"/>
    <w:rsid w:val="2375481A"/>
    <w:rsid w:val="23B37A44"/>
    <w:rsid w:val="23DE44D0"/>
    <w:rsid w:val="23F22C5A"/>
    <w:rsid w:val="249D5D77"/>
    <w:rsid w:val="24AC1531"/>
    <w:rsid w:val="24B445FB"/>
    <w:rsid w:val="24D32F62"/>
    <w:rsid w:val="25387269"/>
    <w:rsid w:val="254B7E98"/>
    <w:rsid w:val="25994CE6"/>
    <w:rsid w:val="25A02863"/>
    <w:rsid w:val="25BA482E"/>
    <w:rsid w:val="25F5013E"/>
    <w:rsid w:val="26130051"/>
    <w:rsid w:val="266D13F7"/>
    <w:rsid w:val="26BA68C7"/>
    <w:rsid w:val="26BB312A"/>
    <w:rsid w:val="26F04D89"/>
    <w:rsid w:val="27896EEB"/>
    <w:rsid w:val="27E92788"/>
    <w:rsid w:val="283167B4"/>
    <w:rsid w:val="28557CCB"/>
    <w:rsid w:val="28682A73"/>
    <w:rsid w:val="29355654"/>
    <w:rsid w:val="2AC3333A"/>
    <w:rsid w:val="2B3F4C1F"/>
    <w:rsid w:val="2B4D1216"/>
    <w:rsid w:val="2B970CB7"/>
    <w:rsid w:val="2BD83F8F"/>
    <w:rsid w:val="2C095760"/>
    <w:rsid w:val="2C110E1D"/>
    <w:rsid w:val="2C520908"/>
    <w:rsid w:val="2D3B7B03"/>
    <w:rsid w:val="2D493ADC"/>
    <w:rsid w:val="2DC26D0C"/>
    <w:rsid w:val="2DC747E2"/>
    <w:rsid w:val="2DFB6036"/>
    <w:rsid w:val="2E7432C7"/>
    <w:rsid w:val="2EEF1ACA"/>
    <w:rsid w:val="2EF65D76"/>
    <w:rsid w:val="2F064EC1"/>
    <w:rsid w:val="2F960B23"/>
    <w:rsid w:val="2FBE43F5"/>
    <w:rsid w:val="304A473A"/>
    <w:rsid w:val="30D54010"/>
    <w:rsid w:val="31BF549C"/>
    <w:rsid w:val="31CF3B5F"/>
    <w:rsid w:val="31F81857"/>
    <w:rsid w:val="328C48C3"/>
    <w:rsid w:val="33167574"/>
    <w:rsid w:val="331C59FF"/>
    <w:rsid w:val="3337740D"/>
    <w:rsid w:val="33B158E6"/>
    <w:rsid w:val="34EB675E"/>
    <w:rsid w:val="351A24AD"/>
    <w:rsid w:val="35552036"/>
    <w:rsid w:val="35AA241A"/>
    <w:rsid w:val="35BF6E19"/>
    <w:rsid w:val="366A3CE4"/>
    <w:rsid w:val="368460D4"/>
    <w:rsid w:val="36F84B57"/>
    <w:rsid w:val="3732088D"/>
    <w:rsid w:val="375E6705"/>
    <w:rsid w:val="379F6D19"/>
    <w:rsid w:val="37E92A86"/>
    <w:rsid w:val="38243E54"/>
    <w:rsid w:val="38D76BCF"/>
    <w:rsid w:val="38FC32F5"/>
    <w:rsid w:val="39030A9D"/>
    <w:rsid w:val="39674782"/>
    <w:rsid w:val="396866FD"/>
    <w:rsid w:val="39741201"/>
    <w:rsid w:val="39A47721"/>
    <w:rsid w:val="39BC4BE1"/>
    <w:rsid w:val="3AD1465E"/>
    <w:rsid w:val="3B5C6A72"/>
    <w:rsid w:val="3C2A4B41"/>
    <w:rsid w:val="3CA66A58"/>
    <w:rsid w:val="3D060202"/>
    <w:rsid w:val="3D5B3EF0"/>
    <w:rsid w:val="3D901BF2"/>
    <w:rsid w:val="3DB136C3"/>
    <w:rsid w:val="3E85416B"/>
    <w:rsid w:val="3EAC12F3"/>
    <w:rsid w:val="3ECD0998"/>
    <w:rsid w:val="3ED508CA"/>
    <w:rsid w:val="3F7F7B16"/>
    <w:rsid w:val="3FA42170"/>
    <w:rsid w:val="3FAF36DB"/>
    <w:rsid w:val="406A14B3"/>
    <w:rsid w:val="408571C6"/>
    <w:rsid w:val="40FA2A46"/>
    <w:rsid w:val="410670A8"/>
    <w:rsid w:val="41263FC1"/>
    <w:rsid w:val="415F764C"/>
    <w:rsid w:val="41B370D6"/>
    <w:rsid w:val="42212582"/>
    <w:rsid w:val="43146FF6"/>
    <w:rsid w:val="433204F8"/>
    <w:rsid w:val="433C3AAA"/>
    <w:rsid w:val="436710AA"/>
    <w:rsid w:val="43E05E15"/>
    <w:rsid w:val="44801F7B"/>
    <w:rsid w:val="44F46625"/>
    <w:rsid w:val="4599227F"/>
    <w:rsid w:val="45EA2721"/>
    <w:rsid w:val="465A1A33"/>
    <w:rsid w:val="46FE4C6E"/>
    <w:rsid w:val="472064CC"/>
    <w:rsid w:val="478879E7"/>
    <w:rsid w:val="479A54F2"/>
    <w:rsid w:val="47A524D7"/>
    <w:rsid w:val="47B377E2"/>
    <w:rsid w:val="47C04462"/>
    <w:rsid w:val="47D84F8A"/>
    <w:rsid w:val="47DB6ABB"/>
    <w:rsid w:val="48083448"/>
    <w:rsid w:val="482526E6"/>
    <w:rsid w:val="494B68BA"/>
    <w:rsid w:val="49A97E85"/>
    <w:rsid w:val="4B3E5565"/>
    <w:rsid w:val="4B9F60AA"/>
    <w:rsid w:val="4C265440"/>
    <w:rsid w:val="4C340FD6"/>
    <w:rsid w:val="4D9F212B"/>
    <w:rsid w:val="4DA60CF0"/>
    <w:rsid w:val="4DCF4521"/>
    <w:rsid w:val="4E5D756A"/>
    <w:rsid w:val="4F5D546C"/>
    <w:rsid w:val="50077447"/>
    <w:rsid w:val="5057605B"/>
    <w:rsid w:val="512521C5"/>
    <w:rsid w:val="51A823AB"/>
    <w:rsid w:val="51CC648B"/>
    <w:rsid w:val="522E4D5D"/>
    <w:rsid w:val="528B1069"/>
    <w:rsid w:val="52AE0ABE"/>
    <w:rsid w:val="52C11A6B"/>
    <w:rsid w:val="53AE4026"/>
    <w:rsid w:val="53D170F4"/>
    <w:rsid w:val="53E22333"/>
    <w:rsid w:val="53ED2E08"/>
    <w:rsid w:val="548779A2"/>
    <w:rsid w:val="54B70BFC"/>
    <w:rsid w:val="55846FDD"/>
    <w:rsid w:val="55D24828"/>
    <w:rsid w:val="55F14CD2"/>
    <w:rsid w:val="56581D59"/>
    <w:rsid w:val="56AA0BEB"/>
    <w:rsid w:val="57081EE0"/>
    <w:rsid w:val="57CF4F1B"/>
    <w:rsid w:val="57F95B34"/>
    <w:rsid w:val="583F363D"/>
    <w:rsid w:val="58602168"/>
    <w:rsid w:val="586F79A5"/>
    <w:rsid w:val="58AB4E89"/>
    <w:rsid w:val="58B5550E"/>
    <w:rsid w:val="58BF5B9C"/>
    <w:rsid w:val="594E1B4B"/>
    <w:rsid w:val="598034DF"/>
    <w:rsid w:val="59F53E5B"/>
    <w:rsid w:val="5A245845"/>
    <w:rsid w:val="5A2F5AF5"/>
    <w:rsid w:val="5AD2393A"/>
    <w:rsid w:val="5AFF7905"/>
    <w:rsid w:val="5B0E18F6"/>
    <w:rsid w:val="5B382BDE"/>
    <w:rsid w:val="5B492C91"/>
    <w:rsid w:val="5B6B15AA"/>
    <w:rsid w:val="5B7729C2"/>
    <w:rsid w:val="5BF25754"/>
    <w:rsid w:val="5C1E13B0"/>
    <w:rsid w:val="5C484323"/>
    <w:rsid w:val="5C5A7F10"/>
    <w:rsid w:val="5C6C3B2F"/>
    <w:rsid w:val="5C880A09"/>
    <w:rsid w:val="5CE40A94"/>
    <w:rsid w:val="5CE57AF4"/>
    <w:rsid w:val="5CEC576E"/>
    <w:rsid w:val="5D3B4F2B"/>
    <w:rsid w:val="5D601CEF"/>
    <w:rsid w:val="5D9539A5"/>
    <w:rsid w:val="5E3E4C2D"/>
    <w:rsid w:val="5EC53874"/>
    <w:rsid w:val="5EE30186"/>
    <w:rsid w:val="5EE37831"/>
    <w:rsid w:val="5F2F6349"/>
    <w:rsid w:val="5F600D4E"/>
    <w:rsid w:val="5FDC55D3"/>
    <w:rsid w:val="5FF90E48"/>
    <w:rsid w:val="60696BD5"/>
    <w:rsid w:val="60C03CCF"/>
    <w:rsid w:val="60F90E60"/>
    <w:rsid w:val="61592A77"/>
    <w:rsid w:val="61822BC8"/>
    <w:rsid w:val="61D1519E"/>
    <w:rsid w:val="626802E1"/>
    <w:rsid w:val="632012CF"/>
    <w:rsid w:val="6353259C"/>
    <w:rsid w:val="637C55C3"/>
    <w:rsid w:val="63A26C03"/>
    <w:rsid w:val="63C01CBD"/>
    <w:rsid w:val="640102A9"/>
    <w:rsid w:val="643F3D04"/>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81177"/>
    <w:rsid w:val="683167B9"/>
    <w:rsid w:val="68FB65DA"/>
    <w:rsid w:val="69293200"/>
    <w:rsid w:val="694347AF"/>
    <w:rsid w:val="694F06EB"/>
    <w:rsid w:val="69766916"/>
    <w:rsid w:val="6AA26939"/>
    <w:rsid w:val="6B9425BB"/>
    <w:rsid w:val="6BE35659"/>
    <w:rsid w:val="6C0F21D5"/>
    <w:rsid w:val="6C5E2E74"/>
    <w:rsid w:val="6CE3347E"/>
    <w:rsid w:val="6CF442A6"/>
    <w:rsid w:val="6D673555"/>
    <w:rsid w:val="6DC267F1"/>
    <w:rsid w:val="6E083615"/>
    <w:rsid w:val="6E6F0BB4"/>
    <w:rsid w:val="6EB25B0B"/>
    <w:rsid w:val="6EB92134"/>
    <w:rsid w:val="6EC420B6"/>
    <w:rsid w:val="6EC83CE8"/>
    <w:rsid w:val="6ED96998"/>
    <w:rsid w:val="6F06166D"/>
    <w:rsid w:val="6F3364F9"/>
    <w:rsid w:val="704020FA"/>
    <w:rsid w:val="70505871"/>
    <w:rsid w:val="706B4405"/>
    <w:rsid w:val="709A7A5C"/>
    <w:rsid w:val="709E6F9F"/>
    <w:rsid w:val="70C52DF1"/>
    <w:rsid w:val="70CE5BDD"/>
    <w:rsid w:val="70D85A71"/>
    <w:rsid w:val="71DB64D8"/>
    <w:rsid w:val="71E95E0C"/>
    <w:rsid w:val="725501DD"/>
    <w:rsid w:val="732872C5"/>
    <w:rsid w:val="73311008"/>
    <w:rsid w:val="743D52D7"/>
    <w:rsid w:val="749949A3"/>
    <w:rsid w:val="74B97E8F"/>
    <w:rsid w:val="74BB0D2E"/>
    <w:rsid w:val="75417F6E"/>
    <w:rsid w:val="754F4D69"/>
    <w:rsid w:val="758B3E18"/>
    <w:rsid w:val="769E6A1B"/>
    <w:rsid w:val="76DB0D8A"/>
    <w:rsid w:val="76F0113F"/>
    <w:rsid w:val="771F60E4"/>
    <w:rsid w:val="777F2661"/>
    <w:rsid w:val="77E32042"/>
    <w:rsid w:val="783436C5"/>
    <w:rsid w:val="78786397"/>
    <w:rsid w:val="79C61A14"/>
    <w:rsid w:val="79EC6CEB"/>
    <w:rsid w:val="7A481CA5"/>
    <w:rsid w:val="7B4126B7"/>
    <w:rsid w:val="7B9062D4"/>
    <w:rsid w:val="7C171859"/>
    <w:rsid w:val="7C4E5B9F"/>
    <w:rsid w:val="7D3944F4"/>
    <w:rsid w:val="7E58216F"/>
    <w:rsid w:val="7E886BD8"/>
    <w:rsid w:val="7EFA5F7A"/>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3"/>
    <w:next w:val="3"/>
    <w:link w:val="25"/>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Emphasis"/>
    <w:basedOn w:val="11"/>
    <w:qFormat/>
    <w:uiPriority w:val="20"/>
    <w:rPr>
      <w:i/>
      <w:iCs/>
    </w:rPr>
  </w:style>
  <w:style w:type="character" w:styleId="13">
    <w:name w:val="Hyperlink"/>
    <w:qFormat/>
    <w:uiPriority w:val="99"/>
    <w:rPr>
      <w:color w:val="0000FF"/>
      <w:u w:val="single"/>
    </w:rPr>
  </w:style>
  <w:style w:type="character" w:styleId="14">
    <w:name w:val="annotation reference"/>
    <w:basedOn w:val="11"/>
    <w:qFormat/>
    <w:uiPriority w:val="0"/>
    <w:rPr>
      <w:sz w:val="21"/>
      <w:szCs w:val="21"/>
    </w:rPr>
  </w:style>
  <w:style w:type="character" w:customStyle="1" w:styleId="15">
    <w:name w:val="页眉 字符"/>
    <w:basedOn w:val="11"/>
    <w:link w:val="6"/>
    <w:qFormat/>
    <w:uiPriority w:val="99"/>
    <w:rPr>
      <w:sz w:val="18"/>
      <w:szCs w:val="18"/>
    </w:rPr>
  </w:style>
  <w:style w:type="character" w:customStyle="1" w:styleId="16">
    <w:name w:val="页脚 字符"/>
    <w:basedOn w:val="11"/>
    <w:link w:val="5"/>
    <w:qFormat/>
    <w:uiPriority w:val="99"/>
    <w:rPr>
      <w:sz w:val="18"/>
      <w:szCs w:val="18"/>
    </w:rPr>
  </w:style>
  <w:style w:type="paragraph" w:customStyle="1" w:styleId="17">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8">
    <w:name w:val="TF"/>
    <w:basedOn w:val="17"/>
    <w:qFormat/>
    <w:uiPriority w:val="0"/>
    <w:pPr>
      <w:keepNext w:val="0"/>
      <w:spacing w:before="0" w:after="240"/>
    </w:pPr>
  </w:style>
  <w:style w:type="paragraph" w:styleId="19">
    <w:name w:val="List Paragraph"/>
    <w:basedOn w:val="1"/>
    <w:qFormat/>
    <w:uiPriority w:val="34"/>
    <w:pPr>
      <w:ind w:firstLine="420" w:firstLineChars="200"/>
    </w:pPr>
  </w:style>
  <w:style w:type="paragraph" w:customStyle="1" w:styleId="20">
    <w:name w:val="B1"/>
    <w:basedOn w:val="7"/>
    <w:qFormat/>
    <w:uiPriority w:val="0"/>
  </w:style>
  <w:style w:type="paragraph" w:customStyle="1" w:styleId="21">
    <w:name w:val="Doc-text2"/>
    <w:basedOn w:val="1"/>
    <w:qFormat/>
    <w:uiPriority w:val="0"/>
    <w:pPr>
      <w:tabs>
        <w:tab w:val="left" w:pos="1622"/>
      </w:tabs>
      <w:ind w:left="1622" w:hanging="363"/>
      <w:jc w:val="left"/>
    </w:pPr>
    <w:rPr>
      <w:rFonts w:eastAsia="MS Mincho"/>
      <w:szCs w:val="24"/>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op_dict3_font24"/>
    <w:basedOn w:val="11"/>
    <w:qFormat/>
    <w:uiPriority w:val="0"/>
  </w:style>
  <w:style w:type="character" w:customStyle="1" w:styleId="24">
    <w:name w:val="批注文字 字符"/>
    <w:basedOn w:val="11"/>
    <w:link w:val="3"/>
    <w:qFormat/>
    <w:uiPriority w:val="99"/>
    <w:rPr>
      <w:kern w:val="2"/>
      <w:sz w:val="21"/>
      <w:szCs w:val="22"/>
    </w:rPr>
  </w:style>
  <w:style w:type="character" w:customStyle="1" w:styleId="25">
    <w:name w:val="批注主题 字符"/>
    <w:basedOn w:val="24"/>
    <w:link w:val="8"/>
    <w:semiHidden/>
    <w:qFormat/>
    <w:uiPriority w:val="99"/>
    <w:rPr>
      <w:b/>
      <w:bCs/>
      <w:kern w:val="2"/>
      <w:sz w:val="21"/>
      <w:szCs w:val="22"/>
    </w:rPr>
  </w:style>
  <w:style w:type="paragraph" w:customStyle="1" w:styleId="26">
    <w:name w:val="Agreement"/>
    <w:basedOn w:val="1"/>
    <w:next w:val="21"/>
    <w:qFormat/>
    <w:uiPriority w:val="0"/>
    <w:pPr>
      <w:numPr>
        <w:ilvl w:val="0"/>
        <w:numId w:val="2"/>
      </w:numPr>
      <w:tabs>
        <w:tab w:val="left" w:pos="1619"/>
        <w:tab w:val="clear" w:pos="1352"/>
      </w:tabs>
      <w:spacing w:before="60"/>
      <w:ind w:left="1619"/>
    </w:pPr>
    <w:rPr>
      <w:b/>
    </w:rPr>
  </w:style>
  <w:style w:type="paragraph" w:customStyle="1" w:styleId="27">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8">
    <w:name w:val="TAN"/>
    <w:basedOn w:val="29"/>
    <w:qFormat/>
    <w:uiPriority w:val="0"/>
    <w:pPr>
      <w:ind w:left="851" w:hanging="851"/>
    </w:pPr>
  </w:style>
  <w:style w:type="paragraph" w:customStyle="1" w:styleId="29">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1903</Words>
  <Characters>9858</Characters>
  <Lines>103</Lines>
  <Paragraphs>29</Paragraphs>
  <TotalTime>15</TotalTime>
  <ScaleCrop>false</ScaleCrop>
  <LinksUpToDate>false</LinksUpToDate>
  <CharactersWithSpaces>11691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2024-09-30T06:21:25Z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954277162C8147088CF3A6449EBCFA86_13</vt:lpwstr>
  </property>
</Properties>
</file>